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7C9" w:rsidRDefault="000217C9" w:rsidP="000217C9">
      <w:pPr>
        <w:pStyle w:val="Title"/>
      </w:pPr>
      <w:r>
        <w:rPr>
          <w:noProof/>
          <w:color w:val="000000" w:themeColor="text1"/>
          <w:lang w:eastAsia="en-AU"/>
        </w:rPr>
        <mc:AlternateContent>
          <mc:Choice Requires="wps">
            <w:drawing>
              <wp:anchor distT="0" distB="0" distL="114300" distR="114300" simplePos="0" relativeHeight="251659264" behindDoc="0" locked="1" layoutInCell="1" allowOverlap="1" wp14:anchorId="70AE6B95" wp14:editId="6E623521">
                <wp:simplePos x="0" y="0"/>
                <wp:positionH relativeFrom="column">
                  <wp:posOffset>0</wp:posOffset>
                </wp:positionH>
                <wp:positionV relativeFrom="paragraph">
                  <wp:posOffset>24765</wp:posOffset>
                </wp:positionV>
                <wp:extent cx="697230" cy="0"/>
                <wp:effectExtent l="0" t="25400" r="39370" b="25400"/>
                <wp:wrapNone/>
                <wp:docPr id="2" name="Straight Connector 2" descr="Divider line between Land Use Futures logo and document title" title="Divider"/>
                <wp:cNvGraphicFramePr/>
                <a:graphic xmlns:a="http://schemas.openxmlformats.org/drawingml/2006/main">
                  <a:graphicData uri="http://schemas.microsoft.com/office/word/2010/wordprocessingShape">
                    <wps:wsp>
                      <wps:cNvCnPr/>
                      <wps:spPr>
                        <a:xfrm>
                          <a:off x="0" y="0"/>
                          <a:ext cx="697230" cy="0"/>
                        </a:xfrm>
                        <a:prstGeom prst="line">
                          <a:avLst/>
                        </a:prstGeom>
                        <a:ln w="38100">
                          <a:solidFill>
                            <a:srgbClr val="37A56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C4239C" id="Straight Connector 2" o:spid="_x0000_s1026" alt="Title: Divider - Description: Divider line between Land Use Futures logo and document title"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pt" to="54.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" strokecolor="#37a56e" strokeweight="3pt">
                <v:stroke joinstyle="miter"/>
                <w10:anchorlock/>
              </v:line>
            </w:pict>
          </mc:Fallback>
        </mc:AlternateContent>
      </w:r>
    </w:p>
    <w:p w:rsidR="0009731E" w:rsidRDefault="00C37797" w:rsidP="0009731E">
      <w:pPr>
        <w:rPr>
          <w:rFonts w:eastAsiaTheme="majorEastAsia" w:cstheme="majorBidi"/>
          <w:b/>
          <w:caps/>
          <w:color w:val="37A56E"/>
          <w:spacing w:val="20"/>
          <w:kern w:val="28"/>
          <w:sz w:val="40"/>
          <w:szCs w:val="56"/>
        </w:rPr>
      </w:pPr>
      <w:r>
        <w:rPr>
          <w:rFonts w:eastAsiaTheme="majorEastAsia" w:cstheme="majorBidi"/>
          <w:b/>
          <w:caps/>
          <w:color w:val="37A56E"/>
          <w:spacing w:val="20"/>
          <w:kern w:val="28"/>
          <w:sz w:val="40"/>
          <w:szCs w:val="56"/>
        </w:rPr>
        <w:t>building local loops and linkages</w:t>
      </w:r>
    </w:p>
    <w:p w:rsidR="00C37797" w:rsidRDefault="00C37797" w:rsidP="00C37797">
      <w:r w:rsidRPr="00C37797">
        <w:t>Cities account for the vast majority of food demand, while producing large quantities of food and human waste. Building local</w:t>
      </w:r>
      <w:r w:rsidR="00353A17">
        <w:rPr>
          <w:rStyle w:val="FootnoteReference"/>
        </w:rPr>
        <w:footnoteReference w:id="1"/>
      </w:r>
      <w:r w:rsidRPr="00C37797">
        <w:t xml:space="preserve"> food economies and closed loop systems to re-incorporate urban waste streams back into the food system offers the possibility of: </w:t>
      </w:r>
    </w:p>
    <w:p w:rsidR="00C37797" w:rsidRDefault="0012446A" w:rsidP="0012446A">
      <w:pPr>
        <w:pStyle w:val="ListParagraph"/>
        <w:numPr>
          <w:ilvl w:val="0"/>
          <w:numId w:val="2"/>
        </w:numPr>
      </w:pPr>
      <w:r>
        <w:t xml:space="preserve">Lower environmental costs </w:t>
      </w:r>
      <w:r w:rsidR="00C37797" w:rsidRPr="00C37797">
        <w:t>when paired with sustainable production practices</w:t>
      </w:r>
      <w:r w:rsidR="00353A17">
        <w:rPr>
          <w:rStyle w:val="FootnoteReference"/>
        </w:rPr>
        <w:footnoteReference w:id="2"/>
      </w:r>
      <w:r w:rsidR="00C37797" w:rsidRPr="00C37797">
        <w:t xml:space="preserve">, as a result of: </w:t>
      </w:r>
    </w:p>
    <w:p w:rsidR="00C37797" w:rsidRDefault="00C37797" w:rsidP="0012446A">
      <w:pPr>
        <w:pStyle w:val="ListParagraph"/>
        <w:numPr>
          <w:ilvl w:val="1"/>
          <w:numId w:val="2"/>
        </w:numPr>
      </w:pPr>
      <w:r w:rsidRPr="00C37797">
        <w:t>Less transportation and storage, resulting in lower associated food loss and waste.</w:t>
      </w:r>
    </w:p>
    <w:p w:rsidR="00C37797" w:rsidRDefault="00C37797" w:rsidP="0012446A">
      <w:pPr>
        <w:pStyle w:val="ListParagraph"/>
        <w:numPr>
          <w:ilvl w:val="1"/>
          <w:numId w:val="2"/>
        </w:numPr>
      </w:pPr>
      <w:r w:rsidRPr="00C37797">
        <w:t xml:space="preserve">Greater utilisation of urban waste streams for cycling nutrients back onto soils on farms, reducing the need for synthetic fertilisers. </w:t>
      </w:r>
    </w:p>
    <w:p w:rsidR="00C37797" w:rsidRDefault="0012446A" w:rsidP="0012446A">
      <w:pPr>
        <w:pStyle w:val="ListParagraph"/>
        <w:numPr>
          <w:ilvl w:val="0"/>
          <w:numId w:val="2"/>
        </w:numPr>
      </w:pPr>
      <w:r>
        <w:t xml:space="preserve">Improved food security </w:t>
      </w:r>
      <w:r w:rsidR="00C37797" w:rsidRPr="00C37797">
        <w:t>and health outcomes due to:</w:t>
      </w:r>
    </w:p>
    <w:p w:rsidR="00C37797" w:rsidRDefault="00C37797" w:rsidP="0012446A">
      <w:pPr>
        <w:pStyle w:val="ListParagraph"/>
        <w:numPr>
          <w:ilvl w:val="1"/>
          <w:numId w:val="2"/>
        </w:numPr>
      </w:pPr>
      <w:r w:rsidRPr="00C37797">
        <w:t xml:space="preserve">Greater availability of fresh food with higher nutrient density for urban communities. </w:t>
      </w:r>
    </w:p>
    <w:p w:rsidR="00C37797" w:rsidRDefault="00C37797" w:rsidP="0012446A">
      <w:pPr>
        <w:pStyle w:val="ListParagraph"/>
        <w:numPr>
          <w:ilvl w:val="1"/>
          <w:numId w:val="2"/>
        </w:numPr>
      </w:pPr>
      <w:r w:rsidRPr="00C37797">
        <w:t>Expanded local food production and adaptability of local networks and shorter supply chains, which are less susceptible to shocks</w:t>
      </w:r>
      <w:r w:rsidR="000D568B">
        <w:rPr>
          <w:rStyle w:val="EndnoteReference"/>
        </w:rPr>
        <w:endnoteReference w:id="1"/>
      </w:r>
      <w:r w:rsidRPr="00C37797">
        <w:t xml:space="preserve">. </w:t>
      </w:r>
    </w:p>
    <w:p w:rsidR="00C37797" w:rsidRDefault="0012446A" w:rsidP="0012446A">
      <w:pPr>
        <w:pStyle w:val="ListParagraph"/>
        <w:numPr>
          <w:ilvl w:val="0"/>
          <w:numId w:val="2"/>
        </w:numPr>
      </w:pPr>
      <w:r>
        <w:t>Economic opportunities,</w:t>
      </w:r>
      <w:r w:rsidR="00C37797" w:rsidRPr="00C37797">
        <w:t xml:space="preserve"> including: </w:t>
      </w:r>
    </w:p>
    <w:p w:rsidR="00C37797" w:rsidRDefault="00C37797" w:rsidP="0012446A">
      <w:pPr>
        <w:pStyle w:val="ListParagraph"/>
        <w:numPr>
          <w:ilvl w:val="1"/>
          <w:numId w:val="2"/>
        </w:numPr>
      </w:pPr>
      <w:r w:rsidRPr="00C37797">
        <w:t xml:space="preserve">Potential for higher margins for farmers, through a reduced number of value chain intermediaries </w:t>
      </w:r>
    </w:p>
    <w:p w:rsidR="00C37797" w:rsidRDefault="00C37797" w:rsidP="0012446A">
      <w:pPr>
        <w:pStyle w:val="ListParagraph"/>
        <w:numPr>
          <w:ilvl w:val="1"/>
          <w:numId w:val="2"/>
        </w:numPr>
      </w:pPr>
      <w:r w:rsidRPr="00C37797">
        <w:t xml:space="preserve">Innovations in food products and services that create value from circular rather than linear practices. </w:t>
      </w:r>
    </w:p>
    <w:p w:rsidR="00C37797" w:rsidRDefault="00C37797" w:rsidP="0012446A">
      <w:pPr>
        <w:pStyle w:val="ListParagraph"/>
        <w:numPr>
          <w:ilvl w:val="1"/>
          <w:numId w:val="2"/>
        </w:numPr>
      </w:pPr>
      <w:r w:rsidRPr="00C37797">
        <w:t>Local jobs in food production, processing and distribution</w:t>
      </w:r>
      <w:r w:rsidR="000D568B">
        <w:rPr>
          <w:rStyle w:val="EndnoteReference"/>
        </w:rPr>
        <w:endnoteReference w:id="2"/>
      </w:r>
      <w:r w:rsidRPr="00C37797">
        <w:t xml:space="preserve">, and agri-tourism. </w:t>
      </w:r>
    </w:p>
    <w:p w:rsidR="00C37797" w:rsidRDefault="0012446A" w:rsidP="0012446A">
      <w:pPr>
        <w:pStyle w:val="ListParagraph"/>
        <w:numPr>
          <w:ilvl w:val="0"/>
          <w:numId w:val="2"/>
        </w:numPr>
      </w:pPr>
      <w:r>
        <w:t xml:space="preserve">Social benefits, </w:t>
      </w:r>
      <w:r w:rsidR="00C37797" w:rsidRPr="00C37797">
        <w:t>such as community</w:t>
      </w:r>
      <w:r w:rsidR="00C37797">
        <w:t xml:space="preserve"> </w:t>
      </w:r>
      <w:r w:rsidR="00C37797" w:rsidRPr="00C37797">
        <w:t>building. For example, reconnection of consumers with the production system, the farmers and the land from which their food comes, and of farmers with their customers</w:t>
      </w:r>
      <w:r w:rsidR="000D568B">
        <w:rPr>
          <w:rStyle w:val="EndnoteReference"/>
        </w:rPr>
        <w:endnoteReference w:id="3"/>
      </w:r>
      <w:r w:rsidR="00C37797" w:rsidRPr="00C37797">
        <w:t xml:space="preserve">. </w:t>
      </w:r>
    </w:p>
    <w:p w:rsidR="00C37797" w:rsidRDefault="0012446A" w:rsidP="0012446A">
      <w:pPr>
        <w:pStyle w:val="ListParagraph"/>
        <w:numPr>
          <w:ilvl w:val="0"/>
          <w:numId w:val="2"/>
        </w:numPr>
      </w:pPr>
      <w:r>
        <w:t xml:space="preserve">Improved animal welfare </w:t>
      </w:r>
      <w:r w:rsidR="00C37797" w:rsidRPr="00C37797">
        <w:t>due to shorter travel to slaughter</w:t>
      </w:r>
      <w:r w:rsidR="00353A17">
        <w:rPr>
          <w:rStyle w:val="FootnoteReference"/>
        </w:rPr>
        <w:footnoteReference w:id="3"/>
      </w:r>
      <w:r w:rsidR="00C37797" w:rsidRPr="00C37797">
        <w:t xml:space="preserve">. </w:t>
      </w:r>
    </w:p>
    <w:p w:rsidR="00C37797" w:rsidRDefault="00C37797" w:rsidP="00C37797">
      <w:pPr>
        <w:rPr>
          <w:rFonts w:cstheme="minorHAnsi"/>
        </w:rPr>
      </w:pPr>
      <w:r w:rsidRPr="00C37797">
        <w:t>Demand from urban residents for locally sourced food is increasing, but local food economies remain immature, urban agriculture is nascent and small scale and peri-urban agriculture is threatened by urban development. Very little urban food and human waste is mined for nutrients to be recycled back into the food system. This transition would address barriers to, and accelerate the development of, local loops and linkages in food systems.</w:t>
      </w:r>
      <w:r>
        <w:rPr>
          <w:rFonts w:cstheme="minorHAnsi"/>
        </w:rPr>
        <w:t xml:space="preserve"> </w:t>
      </w:r>
    </w:p>
    <w:p w:rsidR="00603C9D" w:rsidRDefault="00603C9D" w:rsidP="0009731E">
      <w:pPr>
        <w:pStyle w:val="Heading1"/>
        <w:rPr>
          <w:rStyle w:val="A4"/>
          <w:rFonts w:cstheme="majorBidi"/>
          <w:color w:val="auto"/>
          <w:sz w:val="28"/>
          <w:szCs w:val="32"/>
        </w:rPr>
        <w:sectPr w:rsidR="00603C9D" w:rsidSect="00603C9D">
          <w:headerReference w:type="default" r:id="rId8"/>
          <w:footerReference w:type="default" r:id="rId9"/>
          <w:headerReference w:type="first" r:id="rId10"/>
          <w:footerReference w:type="first" r:id="rId11"/>
          <w:footnotePr>
            <w:numFmt w:val="lowerRoman"/>
          </w:footnotePr>
          <w:endnotePr>
            <w:numFmt w:val="decimal"/>
          </w:endnotePr>
          <w:pgSz w:w="11906" w:h="16838"/>
          <w:pgMar w:top="3517" w:right="1440" w:bottom="1440" w:left="1440" w:header="708" w:footer="569" w:gutter="0"/>
          <w:cols w:space="708"/>
          <w:docGrid w:linePitch="360"/>
        </w:sectPr>
      </w:pPr>
    </w:p>
    <w:p w:rsidR="000217C9" w:rsidRPr="0009731E" w:rsidRDefault="000217C9" w:rsidP="0009731E">
      <w:pPr>
        <w:pStyle w:val="Heading1"/>
        <w:rPr>
          <w:rStyle w:val="A4"/>
          <w:rFonts w:cstheme="majorBidi"/>
          <w:color w:val="auto"/>
          <w:sz w:val="28"/>
          <w:szCs w:val="32"/>
        </w:rPr>
      </w:pPr>
      <w:r w:rsidRPr="0009731E">
        <w:rPr>
          <w:rStyle w:val="A4"/>
          <w:rFonts w:cstheme="majorBidi"/>
          <w:color w:val="auto"/>
          <w:sz w:val="28"/>
          <w:szCs w:val="32"/>
        </w:rPr>
        <w:lastRenderedPageBreak/>
        <w:t>Australian context</w:t>
      </w:r>
    </w:p>
    <w:p w:rsidR="00C37797" w:rsidRDefault="00C37797" w:rsidP="00C37797">
      <w:pPr>
        <w:pStyle w:val="Heading2"/>
        <w:rPr>
          <w:rFonts w:ascii="BrownPro-Bold" w:hAnsi="BrownPro-Bold" w:cs="BrownPro-Bold"/>
          <w:b/>
          <w:bCs/>
          <w:color w:val="79C36C"/>
        </w:rPr>
      </w:pPr>
      <w:r w:rsidRPr="00C37797">
        <w:rPr>
          <w:rStyle w:val="Heading2Char"/>
        </w:rPr>
        <w:t>There are a diversity of regional food economy initiatives across Australia, but these account for a small share of total food supply</w:t>
      </w:r>
      <w:r w:rsidR="00757199" w:rsidRPr="00757199">
        <w:rPr>
          <w:rFonts w:ascii="BrownPro-Bold" w:hAnsi="BrownPro-Bold" w:cs="BrownPro-Bold"/>
          <w:b/>
          <w:bCs/>
          <w:color w:val="37A66E"/>
        </w:rPr>
        <w:t xml:space="preserve"> </w:t>
      </w:r>
    </w:p>
    <w:p w:rsidR="0012446A" w:rsidRDefault="00C37797" w:rsidP="000E56A6">
      <w:pPr>
        <w:pStyle w:val="ListParagraph"/>
        <w:numPr>
          <w:ilvl w:val="0"/>
          <w:numId w:val="3"/>
        </w:numPr>
      </w:pPr>
      <w:r w:rsidRPr="00C37797">
        <w:t xml:space="preserve">There are a range of local and regional food economy initiatives focused on connecting local producers with local consumers, often with a focus on sustainable produce and social </w:t>
      </w:r>
      <w:r w:rsidR="00603C9D">
        <w:t xml:space="preserve">and </w:t>
      </w:r>
      <w:r w:rsidRPr="00C37797">
        <w:t xml:space="preserve">economic co-benefits. These initiatives are often led by local governments and non-profit organisations or social enterprises (see examples below). </w:t>
      </w:r>
    </w:p>
    <w:p w:rsidR="00C37797" w:rsidRDefault="00C37797" w:rsidP="0012446A">
      <w:pPr>
        <w:pStyle w:val="ListParagraph"/>
        <w:numPr>
          <w:ilvl w:val="0"/>
          <w:numId w:val="3"/>
        </w:numPr>
      </w:pPr>
      <w:r w:rsidRPr="00C37797">
        <w:t>However, these initiatives account for a small share of total food supply</w:t>
      </w:r>
      <w:r w:rsidR="000D568B">
        <w:rPr>
          <w:rStyle w:val="EndnoteReference"/>
        </w:rPr>
        <w:endnoteReference w:id="4"/>
      </w:r>
      <w:r w:rsidRPr="00C37797">
        <w:t>.</w:t>
      </w:r>
      <w:r>
        <w:t xml:space="preserve"> </w:t>
      </w:r>
    </w:p>
    <w:p w:rsidR="00C37797" w:rsidRDefault="00C37797" w:rsidP="0012446A">
      <w:pPr>
        <w:pStyle w:val="Heading2"/>
        <w:rPr>
          <w:rFonts w:ascii="BrownPro-Bold" w:hAnsi="BrownPro-Bold" w:cs="BrownPro-Bold"/>
          <w:b/>
          <w:bCs/>
          <w:color w:val="79C36C"/>
        </w:rPr>
      </w:pPr>
      <w:r w:rsidRPr="00C37797">
        <w:t>Peri-urban agriculture is highly valuable but</w:t>
      </w:r>
      <w:r>
        <w:t xml:space="preserve"> </w:t>
      </w:r>
      <w:r w:rsidRPr="00C37797">
        <w:t>under threat from urban development, and urban</w:t>
      </w:r>
      <w:r>
        <w:t xml:space="preserve"> </w:t>
      </w:r>
      <w:r w:rsidRPr="00C37797">
        <w:t>agriculture remains niche</w:t>
      </w:r>
      <w:r>
        <w:rPr>
          <w:rFonts w:ascii="BrownPro-Bold" w:hAnsi="BrownPro-Bold" w:cs="BrownPro-Bold"/>
          <w:b/>
          <w:bCs/>
          <w:color w:val="79C36C"/>
        </w:rPr>
        <w:t xml:space="preserve"> </w:t>
      </w:r>
    </w:p>
    <w:p w:rsidR="0012446A" w:rsidRPr="0012446A" w:rsidRDefault="00C37797" w:rsidP="0012446A">
      <w:pPr>
        <w:pStyle w:val="ListParagraph"/>
        <w:numPr>
          <w:ilvl w:val="0"/>
          <w:numId w:val="4"/>
        </w:numPr>
      </w:pPr>
      <w:r w:rsidRPr="00C37797">
        <w:t>Peri-urban agriculture accounts for less than</w:t>
      </w:r>
      <w:r>
        <w:t xml:space="preserve"> </w:t>
      </w:r>
      <w:r w:rsidRPr="00C37797">
        <w:t>3 per cent of total land area, but represents</w:t>
      </w:r>
      <w:r>
        <w:t xml:space="preserve"> </w:t>
      </w:r>
      <w:r w:rsidRPr="00C37797">
        <w:t>around one quarter of the value of</w:t>
      </w:r>
      <w:r>
        <w:t xml:space="preserve"> </w:t>
      </w:r>
      <w:r w:rsidRPr="00C37797">
        <w:t>agricultural production</w:t>
      </w:r>
      <w:r w:rsidR="000D568B">
        <w:rPr>
          <w:rStyle w:val="EndnoteReference"/>
        </w:rPr>
        <w:endnoteReference w:id="5"/>
      </w:r>
      <w:r w:rsidRPr="00C37797">
        <w:t>.</w:t>
      </w:r>
      <w:r>
        <w:t xml:space="preserve"> </w:t>
      </w:r>
    </w:p>
    <w:p w:rsidR="0012446A" w:rsidRDefault="00C37797" w:rsidP="0012446A">
      <w:pPr>
        <w:pStyle w:val="ListParagraph"/>
        <w:numPr>
          <w:ilvl w:val="0"/>
          <w:numId w:val="4"/>
        </w:numPr>
      </w:pPr>
      <w:r w:rsidRPr="00C37797">
        <w:t>A large share of fresh food is produced in peri</w:t>
      </w:r>
      <w:r w:rsidR="0012446A">
        <w:t>-</w:t>
      </w:r>
      <w:r w:rsidRPr="00C37797">
        <w:t>urban</w:t>
      </w:r>
      <w:r>
        <w:t xml:space="preserve"> </w:t>
      </w:r>
      <w:r w:rsidRPr="00C37797">
        <w:t>areas, for example Melbourne’s peri-urban</w:t>
      </w:r>
      <w:r>
        <w:t xml:space="preserve"> </w:t>
      </w:r>
      <w:r w:rsidRPr="00C37797">
        <w:t>region is able to supply 80 per cent of the city’s</w:t>
      </w:r>
      <w:r>
        <w:t xml:space="preserve"> fresh vegetable demand</w:t>
      </w:r>
      <w:r w:rsidR="000D568B">
        <w:rPr>
          <w:rStyle w:val="EndnoteReference"/>
        </w:rPr>
        <w:endnoteReference w:id="6"/>
      </w:r>
      <w:r>
        <w:t>.</w:t>
      </w:r>
    </w:p>
    <w:p w:rsidR="0012446A" w:rsidRPr="0012446A" w:rsidRDefault="00C37797" w:rsidP="0012446A">
      <w:pPr>
        <w:pStyle w:val="ListParagraph"/>
        <w:numPr>
          <w:ilvl w:val="0"/>
          <w:numId w:val="4"/>
        </w:numPr>
      </w:pPr>
      <w:r>
        <w:t>Peri-urban agriculture is under threat from urban development, for example around 60 per cent of Sydney’s food production is projected to be lost by 2031, including 90 per cent of its fresh vegetable production. This would leave peri</w:t>
      </w:r>
      <w:r w:rsidR="0012446A">
        <w:t>-</w:t>
      </w:r>
      <w:r>
        <w:t>urban food production able to supply only 6 per cent of Sydney’s food needs, down from 20 per cent today</w:t>
      </w:r>
      <w:r w:rsidR="000D568B">
        <w:rPr>
          <w:rStyle w:val="EndnoteReference"/>
        </w:rPr>
        <w:endnoteReference w:id="7"/>
      </w:r>
      <w:r>
        <w:t xml:space="preserve">. </w:t>
      </w:r>
    </w:p>
    <w:p w:rsidR="00C37797" w:rsidRDefault="00C37797" w:rsidP="0012446A">
      <w:pPr>
        <w:pStyle w:val="ListParagraph"/>
        <w:numPr>
          <w:ilvl w:val="0"/>
          <w:numId w:val="4"/>
        </w:numPr>
      </w:pPr>
      <w:r>
        <w:t xml:space="preserve">Urban agriculture experiments are occurring in many Australian cities, but they are difficult to quantify due to their diversity and small-scale. </w:t>
      </w:r>
    </w:p>
    <w:p w:rsidR="00C37797" w:rsidRDefault="00C37797" w:rsidP="0012446A">
      <w:pPr>
        <w:pStyle w:val="Heading2"/>
        <w:rPr>
          <w:rFonts w:ascii="BrownPro-Bold" w:hAnsi="BrownPro-Bold" w:cs="BrownPro-Bold"/>
          <w:b/>
          <w:bCs/>
          <w:color w:val="79C36C"/>
        </w:rPr>
      </w:pPr>
      <w:r w:rsidRPr="00C37797">
        <w:t>Very little of Australia’s urban waste is recycled</w:t>
      </w:r>
      <w:r>
        <w:t xml:space="preserve"> </w:t>
      </w:r>
      <w:r w:rsidRPr="00C37797">
        <w:t>into the food system, but innovations are beginning</w:t>
      </w:r>
      <w:r>
        <w:t xml:space="preserve"> </w:t>
      </w:r>
      <w:r w:rsidRPr="00C37797">
        <w:t>to emerge</w:t>
      </w:r>
      <w:r>
        <w:rPr>
          <w:rFonts w:ascii="BrownPro-Bold" w:hAnsi="BrownPro-Bold" w:cs="BrownPro-Bold"/>
          <w:b/>
          <w:bCs/>
          <w:color w:val="79C36C"/>
        </w:rPr>
        <w:t xml:space="preserve"> </w:t>
      </w:r>
    </w:p>
    <w:p w:rsidR="0012446A" w:rsidRDefault="00C37797" w:rsidP="0012446A">
      <w:pPr>
        <w:pStyle w:val="ListParagraph"/>
        <w:numPr>
          <w:ilvl w:val="0"/>
          <w:numId w:val="5"/>
        </w:numPr>
      </w:pPr>
      <w:r w:rsidRPr="0012446A">
        <w:t>Local estimates of Australian urban waste recycling into the food system are not available, but globally this figure is less than two per cent</w:t>
      </w:r>
      <w:r w:rsidR="000D568B">
        <w:rPr>
          <w:rStyle w:val="EndnoteReference"/>
        </w:rPr>
        <w:endnoteReference w:id="8"/>
      </w:r>
      <w:r w:rsidRPr="0012446A">
        <w:t xml:space="preserve">. </w:t>
      </w:r>
    </w:p>
    <w:p w:rsidR="0012446A" w:rsidRDefault="00C37797" w:rsidP="0012446A">
      <w:pPr>
        <w:pStyle w:val="ListParagraph"/>
        <w:numPr>
          <w:ilvl w:val="0"/>
          <w:numId w:val="5"/>
        </w:numPr>
      </w:pPr>
      <w:r w:rsidRPr="0012446A">
        <w:t>There are a range of initiatives focused on recovering and repurposing urban food and human waste, often led by local government, non-profit organisations and social enterprises (</w:t>
      </w:r>
      <w:r w:rsidRPr="000D568B">
        <w:t xml:space="preserve">see </w:t>
      </w:r>
      <w:hyperlink r:id="rId12" w:history="1">
        <w:r w:rsidRPr="000D568B">
          <w:rPr>
            <w:rStyle w:val="Hyperlink"/>
            <w:color w:val="auto"/>
          </w:rPr>
          <w:t>Reducing food waste and loss</w:t>
        </w:r>
      </w:hyperlink>
      <w:r w:rsidRPr="000D568B">
        <w:t xml:space="preserve"> paper</w:t>
      </w:r>
      <w:r w:rsidRPr="0012446A">
        <w:t>).</w:t>
      </w:r>
      <w:r>
        <w:t xml:space="preserve"> </w:t>
      </w:r>
    </w:p>
    <w:p w:rsidR="000217C9" w:rsidRPr="005C72C9" w:rsidRDefault="000217C9" w:rsidP="00C37797">
      <w:pPr>
        <w:pStyle w:val="Heading1"/>
        <w:rPr>
          <w:rStyle w:val="A4"/>
          <w:rFonts w:cstheme="majorBidi"/>
          <w:color w:val="auto"/>
          <w:sz w:val="28"/>
          <w:szCs w:val="32"/>
        </w:rPr>
      </w:pPr>
      <w:r w:rsidRPr="005C72C9">
        <w:rPr>
          <w:rStyle w:val="A4"/>
          <w:rFonts w:cstheme="majorBidi"/>
          <w:color w:val="auto"/>
          <w:sz w:val="28"/>
          <w:szCs w:val="32"/>
        </w:rPr>
        <w:t>Current state of play</w:t>
      </w:r>
    </w:p>
    <w:p w:rsidR="0012446A" w:rsidRDefault="0009731E" w:rsidP="00C37797">
      <w:r w:rsidRPr="0009731E">
        <w:t>Key action areas</w:t>
      </w:r>
      <w:r w:rsidR="00761B97">
        <w:rPr>
          <w:rStyle w:val="FootnoteReference"/>
        </w:rPr>
        <w:footnoteReference w:id="4"/>
      </w:r>
      <w:r w:rsidRPr="0009731E">
        <w:t xml:space="preserve"> for </w:t>
      </w:r>
      <w:r w:rsidR="00C37797">
        <w:t>building local loops and linkages</w:t>
      </w:r>
      <w:r w:rsidRPr="0009731E">
        <w:t xml:space="preserve"> include: </w:t>
      </w:r>
      <w:r w:rsidR="0012446A">
        <w:t xml:space="preserve"> </w:t>
      </w:r>
    </w:p>
    <w:p w:rsidR="0012446A" w:rsidRPr="0012446A" w:rsidRDefault="00C37797" w:rsidP="0012446A">
      <w:pPr>
        <w:pStyle w:val="ListParagraph"/>
        <w:numPr>
          <w:ilvl w:val="0"/>
          <w:numId w:val="6"/>
        </w:numPr>
      </w:pPr>
      <w:r>
        <w:t>Businesses and governments</w:t>
      </w:r>
      <w:r w:rsidR="0012446A">
        <w:t xml:space="preserve"> commit to increase the share of local procurement </w:t>
      </w:r>
      <w:r>
        <w:t>of sustainably produced food,</w:t>
      </w:r>
      <w:r w:rsidR="0012446A">
        <w:t xml:space="preserve"> </w:t>
      </w:r>
      <w:r>
        <w:t>fibre and other bio-materials.</w:t>
      </w:r>
      <w:r w:rsidR="0012446A">
        <w:t xml:space="preserve"> </w:t>
      </w:r>
    </w:p>
    <w:p w:rsidR="0012446A" w:rsidRPr="0012446A" w:rsidRDefault="0012446A" w:rsidP="0012446A">
      <w:pPr>
        <w:pStyle w:val="ListParagraph"/>
        <w:numPr>
          <w:ilvl w:val="0"/>
          <w:numId w:val="6"/>
        </w:numPr>
      </w:pPr>
      <w:r>
        <w:t>Limit competition for land in peri-urban areas f</w:t>
      </w:r>
      <w:r w:rsidR="00C37797">
        <w:t>rom urban encroachment</w:t>
      </w:r>
      <w:r>
        <w:t xml:space="preserve"> </w:t>
      </w:r>
      <w:r w:rsidR="00C37797">
        <w:t>through zoning and planning protections for</w:t>
      </w:r>
      <w:r>
        <w:t xml:space="preserve"> </w:t>
      </w:r>
      <w:r w:rsidR="00C37797">
        <w:t>agricultural land, and support for urban farming.</w:t>
      </w:r>
      <w:r>
        <w:t xml:space="preserve"> </w:t>
      </w:r>
    </w:p>
    <w:p w:rsidR="0012446A" w:rsidRPr="0012446A" w:rsidRDefault="0012446A" w:rsidP="0012446A">
      <w:pPr>
        <w:pStyle w:val="ListParagraph"/>
        <w:numPr>
          <w:ilvl w:val="0"/>
          <w:numId w:val="6"/>
        </w:numPr>
      </w:pPr>
      <w:r>
        <w:t xml:space="preserve">Invest in systems and infrastructure to support local loops, </w:t>
      </w:r>
      <w:r w:rsidR="00C37797">
        <w:t>including local</w:t>
      </w:r>
      <w:r>
        <w:t xml:space="preserve"> </w:t>
      </w:r>
      <w:r w:rsidR="00C37797">
        <w:t>food supply chain infrastructure (e.g. food</w:t>
      </w:r>
      <w:r>
        <w:t xml:space="preserve"> </w:t>
      </w:r>
      <w:r w:rsidR="00C37797">
        <w:t>processing, aggregation/packing, distribution</w:t>
      </w:r>
      <w:r>
        <w:t xml:space="preserve"> </w:t>
      </w:r>
      <w:r w:rsidR="00C37797">
        <w:t>and digital platforms to connect local consumers</w:t>
      </w:r>
      <w:r>
        <w:t xml:space="preserve"> </w:t>
      </w:r>
      <w:r w:rsidR="00C37797">
        <w:t>and producers), circular waste management</w:t>
      </w:r>
      <w:r>
        <w:t xml:space="preserve"> </w:t>
      </w:r>
      <w:r w:rsidR="00C37797">
        <w:t>infrastructure (e.g. sorting facilities,</w:t>
      </w:r>
      <w:r>
        <w:t xml:space="preserve"> </w:t>
      </w:r>
      <w:r w:rsidR="00C37797" w:rsidRPr="0012446A">
        <w:rPr>
          <w:sz w:val="16"/>
          <w:szCs w:val="16"/>
        </w:rPr>
        <w:t xml:space="preserve">iv </w:t>
      </w:r>
      <w:r w:rsidR="00C37797" w:rsidRPr="0012446A">
        <w:rPr>
          <w:sz w:val="20"/>
          <w:szCs w:val="20"/>
        </w:rPr>
        <w:t xml:space="preserve">Based on the </w:t>
      </w:r>
      <w:r w:rsidR="00C37797" w:rsidRPr="0012446A">
        <w:rPr>
          <w:rFonts w:ascii="BrownPro-Italic" w:hAnsi="BrownPro-Italic" w:cs="BrownPro-Italic"/>
          <w:i/>
          <w:iCs/>
          <w:sz w:val="20"/>
          <w:szCs w:val="20"/>
        </w:rPr>
        <w:t xml:space="preserve">Growing Better </w:t>
      </w:r>
      <w:r w:rsidR="00C37797" w:rsidRPr="0012446A">
        <w:rPr>
          <w:sz w:val="20"/>
          <w:szCs w:val="20"/>
        </w:rPr>
        <w:t>report.</w:t>
      </w:r>
      <w:r w:rsidRPr="0012446A">
        <w:rPr>
          <w:sz w:val="20"/>
          <w:szCs w:val="20"/>
        </w:rPr>
        <w:t xml:space="preserve"> </w:t>
      </w:r>
      <w:r w:rsidR="00C37797">
        <w:t>platforms to connect waste streams with end</w:t>
      </w:r>
      <w:r>
        <w:t xml:space="preserve"> </w:t>
      </w:r>
      <w:r w:rsidR="00C37797">
        <w:t>users), and standards for recycling of urban</w:t>
      </w:r>
      <w:r>
        <w:t xml:space="preserve"> </w:t>
      </w:r>
      <w:r w:rsidR="00C37797">
        <w:t>waste streams on farms.</w:t>
      </w:r>
      <w:r>
        <w:t xml:space="preserve"> </w:t>
      </w:r>
    </w:p>
    <w:p w:rsidR="0012446A" w:rsidRPr="0012446A" w:rsidRDefault="0012446A" w:rsidP="0012446A">
      <w:pPr>
        <w:pStyle w:val="ListParagraph"/>
        <w:numPr>
          <w:ilvl w:val="0"/>
          <w:numId w:val="6"/>
        </w:numPr>
      </w:pPr>
      <w:r>
        <w:t xml:space="preserve">Build demand for healthy and sustainable local food, </w:t>
      </w:r>
      <w:r w:rsidR="00C37797">
        <w:t>including by</w:t>
      </w:r>
      <w:r>
        <w:t xml:space="preserve"> </w:t>
      </w:r>
      <w:r w:rsidR="00C37797">
        <w:t>building consumer awareness of the availability</w:t>
      </w:r>
      <w:r>
        <w:t xml:space="preserve"> </w:t>
      </w:r>
      <w:r w:rsidR="00C37797">
        <w:t>and benefits of local food and supporting</w:t>
      </w:r>
      <w:r>
        <w:t xml:space="preserve"> </w:t>
      </w:r>
      <w:r w:rsidR="00C37797">
        <w:t>redesign of food service offerings and products.</w:t>
      </w:r>
      <w:r>
        <w:t xml:space="preserve"> </w:t>
      </w:r>
    </w:p>
    <w:p w:rsidR="0012446A" w:rsidRDefault="0012446A" w:rsidP="0012446A">
      <w:pPr>
        <w:pStyle w:val="ListParagraph"/>
        <w:numPr>
          <w:ilvl w:val="0"/>
          <w:numId w:val="6"/>
        </w:numPr>
      </w:pPr>
      <w:r w:rsidRPr="0012446A">
        <w:lastRenderedPageBreak/>
        <w:t xml:space="preserve">Design out pollution and close the loop </w:t>
      </w:r>
      <w:r w:rsidR="00C37797" w:rsidRPr="0012446A">
        <w:t>to</w:t>
      </w:r>
      <w:r w:rsidR="00C37797">
        <w:t xml:space="preserve"> ensure all food by-products including</w:t>
      </w:r>
      <w:r>
        <w:t xml:space="preserve"> </w:t>
      </w:r>
      <w:r w:rsidR="00C37797">
        <w:t>food processing side-streams, packaging and</w:t>
      </w:r>
      <w:r>
        <w:t xml:space="preserve"> </w:t>
      </w:r>
      <w:r w:rsidR="00C37797">
        <w:t>human waste are able to be recycled into the soil</w:t>
      </w:r>
      <w:r>
        <w:t xml:space="preserve"> </w:t>
      </w:r>
      <w:r w:rsidR="00C37797">
        <w:t>or otherwise returned into the food system.</w:t>
      </w:r>
      <w:r>
        <w:t xml:space="preserve"> </w:t>
      </w:r>
    </w:p>
    <w:p w:rsidR="0009731E" w:rsidRPr="0009731E" w:rsidRDefault="0009731E" w:rsidP="00C37797">
      <w:r w:rsidRPr="0009731E">
        <w:t>The list below outlines the current state-of-play for each action area, including major current and proposed initiatives.</w:t>
      </w:r>
    </w:p>
    <w:p w:rsidR="0036747E" w:rsidRPr="0036747E" w:rsidRDefault="00C37797" w:rsidP="00CC2D5A">
      <w:pPr>
        <w:rPr>
          <w:rStyle w:val="Heading2Char"/>
          <w:rFonts w:asciiTheme="minorHAnsi" w:eastAsiaTheme="minorHAnsi" w:hAnsiTheme="minorHAnsi" w:cstheme="minorBidi"/>
          <w:color w:val="auto"/>
          <w:spacing w:val="0"/>
          <w:szCs w:val="22"/>
        </w:rPr>
      </w:pPr>
      <w:r>
        <w:rPr>
          <w:rStyle w:val="Heading2Char"/>
        </w:rPr>
        <w:t>Commit to increase the share of local procurement</w:t>
      </w:r>
    </w:p>
    <w:p w:rsidR="0012446A" w:rsidRPr="0012446A" w:rsidRDefault="00C37797" w:rsidP="0012446A">
      <w:pPr>
        <w:pStyle w:val="ListParagraph"/>
        <w:numPr>
          <w:ilvl w:val="0"/>
          <w:numId w:val="7"/>
        </w:numPr>
        <w:rPr>
          <w:rFonts w:asciiTheme="majorHAnsi" w:eastAsiaTheme="majorEastAsia" w:hAnsiTheme="majorHAnsi" w:cstheme="majorBidi"/>
          <w:color w:val="37A56E"/>
          <w:spacing w:val="15"/>
          <w:szCs w:val="26"/>
        </w:rPr>
      </w:pPr>
      <w:r>
        <w:t>Many large retailers, food providers and governments have ‘buy local’</w:t>
      </w:r>
      <w:r w:rsidR="0012446A">
        <w:t xml:space="preserve"> </w:t>
      </w:r>
      <w:r>
        <w:t>requirements, e.g. Victoria’s initiative to procure local food for public</w:t>
      </w:r>
      <w:r w:rsidR="0012446A">
        <w:t xml:space="preserve"> </w:t>
      </w:r>
      <w:r>
        <w:t>hospitals and aged care facilities, due for implementation mid-2020</w:t>
      </w:r>
      <w:r w:rsidR="000D568B">
        <w:rPr>
          <w:rStyle w:val="EndnoteReference"/>
        </w:rPr>
        <w:endnoteReference w:id="9"/>
      </w:r>
      <w:r>
        <w:t>.</w:t>
      </w:r>
      <w:r w:rsidR="0012446A">
        <w:t xml:space="preserve"> </w:t>
      </w:r>
    </w:p>
    <w:p w:rsidR="0012446A" w:rsidRPr="0012446A" w:rsidRDefault="00C37797" w:rsidP="0012446A">
      <w:pPr>
        <w:pStyle w:val="ListParagraph"/>
        <w:numPr>
          <w:ilvl w:val="0"/>
          <w:numId w:val="7"/>
        </w:numPr>
        <w:rPr>
          <w:rFonts w:asciiTheme="majorHAnsi" w:eastAsiaTheme="majorEastAsia" w:hAnsiTheme="majorHAnsi" w:cstheme="majorBidi"/>
          <w:color w:val="37A56E"/>
          <w:spacing w:val="15"/>
          <w:szCs w:val="26"/>
        </w:rPr>
      </w:pPr>
      <w:r>
        <w:t>However, the impact of these initiatives is often limited due to a lack of</w:t>
      </w:r>
      <w:r w:rsidR="0012446A">
        <w:t xml:space="preserve"> </w:t>
      </w:r>
      <w:r>
        <w:t>local food supply chain capability.</w:t>
      </w:r>
      <w:r w:rsidR="0012446A">
        <w:t xml:space="preserve"> </w:t>
      </w:r>
    </w:p>
    <w:p w:rsidR="00CC2D5A" w:rsidRPr="0012446A" w:rsidRDefault="00C37797" w:rsidP="0012446A">
      <w:pPr>
        <w:pStyle w:val="ListParagraph"/>
        <w:numPr>
          <w:ilvl w:val="0"/>
          <w:numId w:val="7"/>
        </w:numPr>
        <w:rPr>
          <w:rFonts w:asciiTheme="majorHAnsi" w:eastAsiaTheme="majorEastAsia" w:hAnsiTheme="majorHAnsi" w:cstheme="majorBidi"/>
          <w:color w:val="37A56E"/>
          <w:spacing w:val="15"/>
          <w:szCs w:val="26"/>
        </w:rPr>
      </w:pPr>
      <w:r>
        <w:t>Non-profit initiatives are working to advocate for local food procurement,</w:t>
      </w:r>
      <w:r w:rsidR="0012446A">
        <w:t xml:space="preserve"> </w:t>
      </w:r>
      <w:r>
        <w:t>e.g. Eat Well Tasmania has called for the government to demonstrate</w:t>
      </w:r>
      <w:r w:rsidR="0012446A">
        <w:t xml:space="preserve"> </w:t>
      </w:r>
      <w:r>
        <w:t>leadership, strengthen government procurement rules, and provide</w:t>
      </w:r>
      <w:r w:rsidR="0012446A">
        <w:t xml:space="preserve"> </w:t>
      </w:r>
      <w:r>
        <w:t>additional resourcing for organisations working towards this goal</w:t>
      </w:r>
      <w:r w:rsidR="000D568B">
        <w:rPr>
          <w:rStyle w:val="EndnoteReference"/>
        </w:rPr>
        <w:endnoteReference w:id="10"/>
      </w:r>
      <w:r>
        <w:t>.</w:t>
      </w:r>
    </w:p>
    <w:p w:rsidR="009A2BC0" w:rsidRDefault="00C37797" w:rsidP="00CC2D5A">
      <w:pPr>
        <w:rPr>
          <w:rStyle w:val="Heading2Char"/>
        </w:rPr>
      </w:pPr>
      <w:r>
        <w:rPr>
          <w:rStyle w:val="Heading2Char"/>
        </w:rPr>
        <w:t>Limit competition for land in peri-urban areas</w:t>
      </w:r>
    </w:p>
    <w:p w:rsidR="00C37797" w:rsidRDefault="00C37797" w:rsidP="0012446A">
      <w:pPr>
        <w:pStyle w:val="ListParagraph"/>
        <w:numPr>
          <w:ilvl w:val="0"/>
          <w:numId w:val="7"/>
        </w:numPr>
      </w:pPr>
      <w:r>
        <w:t>State governments have established policies and/or processes that address</w:t>
      </w:r>
      <w:r w:rsidR="0012446A">
        <w:t xml:space="preserve"> </w:t>
      </w:r>
      <w:r>
        <w:t>management of peri-urban land (e.g. current Victorian review of Melbourne’s</w:t>
      </w:r>
      <w:r w:rsidR="0012446A">
        <w:t xml:space="preserve"> </w:t>
      </w:r>
      <w:r>
        <w:t>‘green wedge’ peri-urban zone), but this remains an ongoing issue.</w:t>
      </w:r>
    </w:p>
    <w:p w:rsidR="00757199" w:rsidRPr="00CC2D5A" w:rsidRDefault="00C37797" w:rsidP="00C37797">
      <w:pPr>
        <w:pStyle w:val="Heading2"/>
        <w:rPr>
          <w:rStyle w:val="Heading2Char"/>
        </w:rPr>
      </w:pPr>
      <w:r>
        <w:t>Invest in local infrastructure to support local loops</w:t>
      </w:r>
    </w:p>
    <w:p w:rsidR="0012446A" w:rsidRPr="0012446A" w:rsidRDefault="00C37797" w:rsidP="00182579">
      <w:pPr>
        <w:pStyle w:val="ListParagraph"/>
        <w:numPr>
          <w:ilvl w:val="0"/>
          <w:numId w:val="7"/>
        </w:numPr>
      </w:pPr>
      <w:r>
        <w:t>Wholesale and retail food markets, hubs, networks and digital platforms</w:t>
      </w:r>
      <w:r w:rsidR="0012446A">
        <w:t xml:space="preserve"> </w:t>
      </w:r>
      <w:r>
        <w:t>focussed on moving local food to local people operate in many regions</w:t>
      </w:r>
      <w:r w:rsidR="0012446A">
        <w:t xml:space="preserve"> </w:t>
      </w:r>
      <w:r>
        <w:t>(e.g. farmers markets, the Open Food Network, FoodConnect and CERES</w:t>
      </w:r>
      <w:r w:rsidR="0012446A">
        <w:t xml:space="preserve"> </w:t>
      </w:r>
      <w:r>
        <w:t>Fair Food)</w:t>
      </w:r>
      <w:r w:rsidR="00182579">
        <w:t>,</w:t>
      </w:r>
      <w:r w:rsidR="00182579" w:rsidRPr="00182579">
        <w:t xml:space="preserve"> but these types o</w:t>
      </w:r>
      <w:r w:rsidR="00182579">
        <w:t xml:space="preserve">f initiatives remain fragmented </w:t>
      </w:r>
      <w:r>
        <w:t>.</w:t>
      </w:r>
      <w:r w:rsidR="0012446A">
        <w:t xml:space="preserve"> </w:t>
      </w:r>
    </w:p>
    <w:p w:rsidR="0012446A" w:rsidRDefault="00C37797" w:rsidP="0012446A">
      <w:pPr>
        <w:pStyle w:val="ListParagraph"/>
        <w:numPr>
          <w:ilvl w:val="0"/>
          <w:numId w:val="7"/>
        </w:numPr>
      </w:pPr>
      <w:r>
        <w:t>A number of local governments and social enterprises have established or</w:t>
      </w:r>
      <w:r w:rsidR="0012446A">
        <w:t xml:space="preserve"> </w:t>
      </w:r>
      <w:r>
        <w:t>supported urban agriculture programs to incentivise urban agriculture and</w:t>
      </w:r>
      <w:r w:rsidR="0012446A">
        <w:t xml:space="preserve"> </w:t>
      </w:r>
      <w:r>
        <w:t>support non-profit initiatives, but these remain small scale e.g. Pocket City</w:t>
      </w:r>
      <w:r w:rsidR="0012446A">
        <w:t xml:space="preserve"> </w:t>
      </w:r>
      <w:r>
        <w:t>Farms, 3000 Acres, The Moving Feast.</w:t>
      </w:r>
      <w:r w:rsidR="0012446A">
        <w:t xml:space="preserve"> </w:t>
      </w:r>
    </w:p>
    <w:p w:rsidR="0012446A" w:rsidRPr="0012446A" w:rsidRDefault="00C37797" w:rsidP="0012446A">
      <w:pPr>
        <w:pStyle w:val="ListParagraph"/>
        <w:numPr>
          <w:ilvl w:val="0"/>
          <w:numId w:val="7"/>
        </w:numPr>
      </w:pPr>
      <w:r>
        <w:t>Infrastructure Australia has identified ‘National Waste and Recycling</w:t>
      </w:r>
      <w:r w:rsidR="0012446A">
        <w:t xml:space="preserve"> </w:t>
      </w:r>
      <w:r>
        <w:t>Management’ as a high priority initiative, and recommended a coordinated</w:t>
      </w:r>
      <w:r w:rsidR="0012446A">
        <w:t xml:space="preserve"> </w:t>
      </w:r>
      <w:r>
        <w:t>strategy to identify a program of investment in recovery and reprocessing</w:t>
      </w:r>
      <w:r w:rsidR="000D568B">
        <w:rPr>
          <w:rStyle w:val="EndnoteReference"/>
        </w:rPr>
        <w:endnoteReference w:id="11"/>
      </w:r>
      <w:r>
        <w:t>.</w:t>
      </w:r>
      <w:r w:rsidR="0012446A">
        <w:t xml:space="preserve"> </w:t>
      </w:r>
    </w:p>
    <w:p w:rsidR="00C37797" w:rsidRDefault="00C37797" w:rsidP="0012446A">
      <w:pPr>
        <w:pStyle w:val="ListParagraph"/>
        <w:numPr>
          <w:ilvl w:val="0"/>
          <w:numId w:val="7"/>
        </w:numPr>
      </w:pPr>
      <w:r>
        <w:t>For waste recovery and repurposing infrastructu</w:t>
      </w:r>
      <w:r w:rsidRPr="000D568B">
        <w:t>re initiatives, see the</w:t>
      </w:r>
      <w:r w:rsidR="0012446A" w:rsidRPr="000D568B">
        <w:t xml:space="preserve"> </w:t>
      </w:r>
      <w:hyperlink r:id="rId13" w:history="1">
        <w:r w:rsidRPr="000D568B">
          <w:rPr>
            <w:rStyle w:val="Hyperlink"/>
            <w:color w:val="auto"/>
          </w:rPr>
          <w:t>Reducing food waste and loss</w:t>
        </w:r>
      </w:hyperlink>
      <w:r>
        <w:t xml:space="preserve"> paper.</w:t>
      </w:r>
    </w:p>
    <w:p w:rsidR="00757199" w:rsidRDefault="00C37797" w:rsidP="00C37797">
      <w:pPr>
        <w:rPr>
          <w:rStyle w:val="Heading2Char"/>
        </w:rPr>
      </w:pPr>
      <w:r>
        <w:rPr>
          <w:rStyle w:val="Heading2Char"/>
        </w:rPr>
        <w:t>Build demand for sustainable local food</w:t>
      </w:r>
    </w:p>
    <w:p w:rsidR="0012446A" w:rsidRPr="0012446A" w:rsidRDefault="00C37797" w:rsidP="0012446A">
      <w:pPr>
        <w:pStyle w:val="ListParagraph"/>
        <w:numPr>
          <w:ilvl w:val="0"/>
          <w:numId w:val="7"/>
        </w:numPr>
        <w:rPr>
          <w:rFonts w:cs="BrownStd"/>
          <w:color w:val="211D1E"/>
        </w:rPr>
      </w:pPr>
      <w:r>
        <w:t>A small number of government initiatives target consumer awareness of the</w:t>
      </w:r>
      <w:r w:rsidR="0012446A">
        <w:t xml:space="preserve"> </w:t>
      </w:r>
      <w:r>
        <w:t>benefits of local food (e.g. WA’s Buy West Eat Best labelling scheme</w:t>
      </w:r>
      <w:r w:rsidR="000D568B">
        <w:rPr>
          <w:rStyle w:val="EndnoteReference"/>
        </w:rPr>
        <w:endnoteReference w:id="12"/>
      </w:r>
      <w:r w:rsidRPr="0012446A">
        <w:rPr>
          <w:sz w:val="10"/>
          <w:szCs w:val="10"/>
        </w:rPr>
        <w:t xml:space="preserve"> </w:t>
      </w:r>
      <w:r>
        <w:t>and</w:t>
      </w:r>
      <w:r w:rsidR="0012446A">
        <w:t xml:space="preserve"> </w:t>
      </w:r>
      <w:r>
        <w:t>‘Good Choice’ campaign</w:t>
      </w:r>
      <w:r w:rsidR="000D568B">
        <w:rPr>
          <w:rStyle w:val="EndnoteReference"/>
        </w:rPr>
        <w:endnoteReference w:id="13"/>
      </w:r>
      <w:r>
        <w:t>).</w:t>
      </w:r>
      <w:r w:rsidR="0012446A">
        <w:t xml:space="preserve"> </w:t>
      </w:r>
    </w:p>
    <w:p w:rsidR="0012446A" w:rsidRPr="0012446A" w:rsidRDefault="00C37797" w:rsidP="0012446A">
      <w:pPr>
        <w:pStyle w:val="ListParagraph"/>
        <w:numPr>
          <w:ilvl w:val="0"/>
          <w:numId w:val="7"/>
        </w:numPr>
        <w:rPr>
          <w:rFonts w:cs="BrownStd"/>
          <w:color w:val="211D1E"/>
        </w:rPr>
      </w:pPr>
      <w:r>
        <w:t>Some food services and products have been designed with a view to building</w:t>
      </w:r>
      <w:r w:rsidR="0012446A">
        <w:t xml:space="preserve"> </w:t>
      </w:r>
      <w:r>
        <w:t>demand for local produce (e.g. restaurants and cafes with a strong focus on</w:t>
      </w:r>
      <w:r w:rsidR="0012446A">
        <w:t xml:space="preserve"> </w:t>
      </w:r>
      <w:r>
        <w:t>sourcing local produce or growing on site, such as Acre Eatery in Melbourne</w:t>
      </w:r>
      <w:r w:rsidR="0012446A">
        <w:t xml:space="preserve"> </w:t>
      </w:r>
      <w:r>
        <w:t>and Sydney)</w:t>
      </w:r>
      <w:r w:rsidR="00182579">
        <w:t>.</w:t>
      </w:r>
      <w:bookmarkStart w:id="0" w:name="_GoBack"/>
      <w:bookmarkEnd w:id="0"/>
    </w:p>
    <w:p w:rsidR="0012446A" w:rsidRPr="0012446A" w:rsidRDefault="00C37797" w:rsidP="0012446A">
      <w:pPr>
        <w:pStyle w:val="ListParagraph"/>
        <w:numPr>
          <w:ilvl w:val="0"/>
          <w:numId w:val="7"/>
        </w:numPr>
        <w:rPr>
          <w:rFonts w:cs="BrownStd"/>
          <w:color w:val="211D1E"/>
        </w:rPr>
      </w:pPr>
      <w:r>
        <w:t>A number of non-profit organisations focus on building local, sustainable</w:t>
      </w:r>
      <w:r w:rsidR="0012446A">
        <w:t xml:space="preserve"> </w:t>
      </w:r>
      <w:r>
        <w:t>and just food economies and providing tools and resources to enable and</w:t>
      </w:r>
      <w:r w:rsidR="0012446A">
        <w:t xml:space="preserve"> </w:t>
      </w:r>
      <w:r>
        <w:t>encourage consumer demand, e.g. Sustain, Australian Food Sovereignty</w:t>
      </w:r>
      <w:r w:rsidR="0012446A">
        <w:t xml:space="preserve"> </w:t>
      </w:r>
      <w:r>
        <w:t>Alliance, Sustainable Table, Eat Well Tasmania’s We Eat Local app</w:t>
      </w:r>
      <w:r w:rsidR="000D568B">
        <w:rPr>
          <w:rStyle w:val="EndnoteReference"/>
        </w:rPr>
        <w:endnoteReference w:id="14"/>
      </w:r>
      <w:r>
        <w:t>, FoodWise</w:t>
      </w:r>
      <w:r w:rsidR="0012446A">
        <w:t xml:space="preserve"> </w:t>
      </w:r>
      <w:r>
        <w:t>consumer information</w:t>
      </w:r>
      <w:r w:rsidR="000D568B">
        <w:rPr>
          <w:rStyle w:val="EndnoteReference"/>
        </w:rPr>
        <w:endnoteReference w:id="15"/>
      </w:r>
      <w:r w:rsidRPr="0012446A">
        <w:rPr>
          <w:sz w:val="10"/>
          <w:szCs w:val="10"/>
        </w:rPr>
        <w:t xml:space="preserve"> </w:t>
      </w:r>
      <w:r>
        <w:t>and the Seasonal Food Guide</w:t>
      </w:r>
      <w:r w:rsidR="000D568B">
        <w:rPr>
          <w:rStyle w:val="EndnoteReference"/>
        </w:rPr>
        <w:endnoteReference w:id="16"/>
      </w:r>
      <w:r>
        <w:t>.</w:t>
      </w:r>
      <w:r w:rsidR="0012446A" w:rsidRPr="0012446A">
        <w:rPr>
          <w:rFonts w:cs="BrownStd"/>
          <w:color w:val="211D1E"/>
        </w:rPr>
        <w:t xml:space="preserve"> </w:t>
      </w:r>
    </w:p>
    <w:p w:rsidR="00C37797" w:rsidRDefault="00C37797" w:rsidP="00C37797">
      <w:pPr>
        <w:rPr>
          <w:rStyle w:val="Heading2Char"/>
        </w:rPr>
      </w:pPr>
      <w:r>
        <w:rPr>
          <w:rStyle w:val="Heading2Char"/>
        </w:rPr>
        <w:lastRenderedPageBreak/>
        <w:t>Design out pollution and close the loop</w:t>
      </w:r>
    </w:p>
    <w:p w:rsidR="00C37797" w:rsidRDefault="00C37797" w:rsidP="0012446A">
      <w:pPr>
        <w:pStyle w:val="ListParagraph"/>
        <w:numPr>
          <w:ilvl w:val="0"/>
          <w:numId w:val="7"/>
        </w:numPr>
        <w:rPr>
          <w:rStyle w:val="Heading2Char"/>
        </w:rPr>
      </w:pPr>
      <w:r>
        <w:t xml:space="preserve">See the </w:t>
      </w:r>
      <w:hyperlink r:id="rId14" w:history="1">
        <w:r w:rsidRPr="000D568B">
          <w:rPr>
            <w:rStyle w:val="Hyperlink"/>
            <w:color w:val="auto"/>
          </w:rPr>
          <w:t>Reducing food loss and waste paper</w:t>
        </w:r>
      </w:hyperlink>
      <w:r>
        <w:t xml:space="preserve"> for a range of relevant initiatives.</w:t>
      </w:r>
    </w:p>
    <w:p w:rsidR="00C37797" w:rsidRPr="00145592" w:rsidRDefault="00C37797" w:rsidP="00C37797">
      <w:pPr>
        <w:pStyle w:val="ListParagraph"/>
        <w:numPr>
          <w:ilvl w:val="0"/>
          <w:numId w:val="1"/>
        </w:numPr>
        <w:rPr>
          <w:rStyle w:val="A4"/>
          <w:sz w:val="22"/>
          <w:szCs w:val="22"/>
        </w:rPr>
        <w:sectPr w:rsidR="00C37797" w:rsidRPr="00145592" w:rsidSect="00603C9D">
          <w:headerReference w:type="default" r:id="rId15"/>
          <w:footnotePr>
            <w:numFmt w:val="lowerRoman"/>
          </w:footnotePr>
          <w:endnotePr>
            <w:numFmt w:val="decimal"/>
          </w:endnotePr>
          <w:type w:val="continuous"/>
          <w:pgSz w:w="11906" w:h="16838"/>
          <w:pgMar w:top="1418" w:right="1440" w:bottom="1440" w:left="1440" w:header="708" w:footer="569" w:gutter="0"/>
          <w:cols w:space="708"/>
          <w:docGrid w:linePitch="360"/>
        </w:sectPr>
      </w:pPr>
    </w:p>
    <w:p w:rsidR="000217C9" w:rsidRDefault="000217C9" w:rsidP="000217C9">
      <w:pPr>
        <w:pStyle w:val="Heading1"/>
      </w:pPr>
      <w:r w:rsidRPr="00721BE2">
        <w:rPr>
          <w:rStyle w:val="A4"/>
          <w:color w:val="auto"/>
          <w:sz w:val="28"/>
          <w:szCs w:val="32"/>
        </w:rPr>
        <w:lastRenderedPageBreak/>
        <w:t>For more information</w:t>
      </w:r>
    </w:p>
    <w:p w:rsidR="000217C9" w:rsidRPr="00721BE2" w:rsidRDefault="000217C9" w:rsidP="000217C9">
      <w:r w:rsidRPr="00721BE2">
        <w:t xml:space="preserve">The Land Use Futures program is working to adapt the global transitions to reflect Australia’s unique national and regional circumstances, and identify key actions to accelerate the transition. </w:t>
      </w:r>
      <w:r w:rsidRPr="00575767">
        <w:t>This paper is the first step in that process.</w:t>
      </w:r>
    </w:p>
    <w:p w:rsidR="000217C9" w:rsidRPr="00721BE2" w:rsidRDefault="000217C9" w:rsidP="000217C9">
      <w:r w:rsidRPr="00721BE2">
        <w:t xml:space="preserve">Find out more about Land Use Futures by visiting  our website: www.climateworksaustralia.org/project/land-use-futures </w:t>
      </w:r>
    </w:p>
    <w:p w:rsidR="000217C9" w:rsidRPr="00721BE2" w:rsidRDefault="000217C9" w:rsidP="000217C9">
      <w:r w:rsidRPr="00721BE2">
        <w:t>The Land Use Futures program is led by ClimateWorks Australia (working within the Monash Sustainable Development Institute), Deakin University and CSIRO.</w:t>
      </w:r>
    </w:p>
    <w:p w:rsidR="000217C9" w:rsidRPr="00C0624E" w:rsidRDefault="000217C9" w:rsidP="000217C9">
      <w:pPr>
        <w:pStyle w:val="Heading2"/>
      </w:pPr>
      <w:r w:rsidRPr="00C0624E">
        <w:rPr>
          <w:rStyle w:val="A4"/>
          <w:rFonts w:cstheme="majorBidi"/>
          <w:color w:val="37A56E"/>
          <w:sz w:val="22"/>
          <w:szCs w:val="26"/>
        </w:rPr>
        <w:t xml:space="preserve">For further information, please contact: </w:t>
      </w:r>
    </w:p>
    <w:p w:rsidR="000217C9" w:rsidRPr="00721BE2" w:rsidRDefault="000217C9" w:rsidP="000217C9">
      <w:pPr>
        <w:pStyle w:val="NoSpacing"/>
      </w:pPr>
      <w:r w:rsidRPr="00721BE2">
        <w:t>Haley lambert</w:t>
      </w:r>
    </w:p>
    <w:p w:rsidR="000217C9" w:rsidRPr="00721BE2" w:rsidRDefault="000217C9" w:rsidP="000217C9">
      <w:pPr>
        <w:pStyle w:val="NoSpacing"/>
      </w:pPr>
      <w:r w:rsidRPr="00721BE2">
        <w:t xml:space="preserve">Project Manager </w:t>
      </w:r>
    </w:p>
    <w:p w:rsidR="000217C9" w:rsidRPr="00721BE2" w:rsidRDefault="000217C9" w:rsidP="000217C9">
      <w:pPr>
        <w:pStyle w:val="NoSpacing"/>
      </w:pPr>
      <w:r w:rsidRPr="00721BE2">
        <w:t xml:space="preserve">ClimateWorks Australia </w:t>
      </w:r>
    </w:p>
    <w:p w:rsidR="000217C9" w:rsidRPr="00721BE2" w:rsidRDefault="000217C9" w:rsidP="000217C9">
      <w:pPr>
        <w:pStyle w:val="NoSpacing"/>
      </w:pPr>
      <w:r w:rsidRPr="00721BE2">
        <w:t xml:space="preserve">haley.lambert@climateworksaustralia.org </w:t>
      </w:r>
    </w:p>
    <w:p w:rsidR="000217C9" w:rsidRDefault="000217C9" w:rsidP="000217C9">
      <w:pPr>
        <w:pStyle w:val="NoSpacing"/>
      </w:pPr>
      <w:r w:rsidRPr="00721BE2">
        <w:t>ClimateWorks Australia Level 27, 35 Collins Street Melbourne Victoria 3000</w:t>
      </w:r>
    </w:p>
    <w:p w:rsidR="000217C9" w:rsidRDefault="000217C9" w:rsidP="000217C9">
      <w:pPr>
        <w:pStyle w:val="Default"/>
      </w:pPr>
    </w:p>
    <w:p w:rsidR="000217C9" w:rsidRPr="009440B4" w:rsidRDefault="000217C9" w:rsidP="000217C9">
      <w:r w:rsidRPr="009440B4">
        <w:rPr>
          <w:rStyle w:val="A4"/>
          <w:sz w:val="22"/>
          <w:szCs w:val="22"/>
        </w:rPr>
        <w:t xml:space="preserve">Published by ClimateWorks Australia Melbourne, Victoria, July 2020 © ClimateWorks Australia 2020 </w:t>
      </w:r>
    </w:p>
    <w:p w:rsidR="000217C9" w:rsidRPr="009440B4" w:rsidRDefault="000217C9" w:rsidP="000217C9">
      <w:r w:rsidRPr="009440B4">
        <w:rPr>
          <w:rStyle w:val="A4"/>
          <w:sz w:val="22"/>
          <w:szCs w:val="22"/>
        </w:rPr>
        <w:t xml:space="preserve">This work is subject to copyright. Apart from any use permitted under the Copyright Act 1968, no part may be reproduced by any process without written permission from the publisher. </w:t>
      </w:r>
    </w:p>
    <w:p w:rsidR="000217C9" w:rsidRDefault="000217C9" w:rsidP="000217C9">
      <w:pPr>
        <w:rPr>
          <w:rStyle w:val="A5"/>
        </w:rPr>
      </w:pPr>
      <w:r w:rsidRPr="009440B4">
        <w:rPr>
          <w:rStyle w:val="A4"/>
          <w:sz w:val="22"/>
          <w:szCs w:val="22"/>
        </w:rPr>
        <w:t>This pu</w:t>
      </w:r>
      <w:r>
        <w:rPr>
          <w:rStyle w:val="A4"/>
          <w:sz w:val="22"/>
          <w:szCs w:val="22"/>
        </w:rPr>
        <w:t>blication can be downloaded at</w:t>
      </w:r>
      <w:r w:rsidRPr="00775840">
        <w:rPr>
          <w:rStyle w:val="A4"/>
          <w:color w:val="auto"/>
          <w:sz w:val="22"/>
          <w:szCs w:val="22"/>
        </w:rPr>
        <w:t xml:space="preserve"> </w:t>
      </w:r>
      <w:hyperlink r:id="rId16" w:history="1">
        <w:r w:rsidRPr="00775840">
          <w:rPr>
            <w:rStyle w:val="Hyperlink"/>
            <w:rFonts w:cs="BrownStd"/>
            <w:color w:val="auto"/>
          </w:rPr>
          <w:t>the ClimateWorks Australia website</w:t>
        </w:r>
      </w:hyperlink>
      <w:r>
        <w:rPr>
          <w:rStyle w:val="A4"/>
          <w:sz w:val="22"/>
          <w:szCs w:val="22"/>
        </w:rPr>
        <w:t>.</w:t>
      </w:r>
    </w:p>
    <w:p w:rsidR="00B031B6" w:rsidRDefault="000217C9" w:rsidP="00AE0835">
      <w:pPr>
        <w:rPr>
          <w:rStyle w:val="A7"/>
          <w:b w:val="0"/>
          <w:sz w:val="22"/>
          <w:szCs w:val="22"/>
        </w:rPr>
      </w:pPr>
      <w:r w:rsidRPr="00C0624E">
        <w:rPr>
          <w:rStyle w:val="A7"/>
          <w:b w:val="0"/>
          <w:sz w:val="22"/>
          <w:szCs w:val="22"/>
        </w:rPr>
        <w:t>ClimateWorks Australia is an expert, independent adviser, committed to helping Australia and our region transition to net zero emissions. It was co-founded through a partnership between Monash University and The Myer Foundation and works within the Monash Sustainable Development Institute.</w:t>
      </w:r>
    </w:p>
    <w:p w:rsidR="00AE0835" w:rsidRDefault="00AE0835" w:rsidP="00AE0835">
      <w:pPr>
        <w:pStyle w:val="Heading1"/>
      </w:pPr>
      <w:r>
        <w:rPr>
          <w:rStyle w:val="A4"/>
          <w:color w:val="auto"/>
          <w:sz w:val="28"/>
          <w:szCs w:val="32"/>
        </w:rPr>
        <w:t>References</w:t>
      </w:r>
    </w:p>
    <w:sectPr w:rsidR="00AE0835" w:rsidSect="00961A48">
      <w:headerReference w:type="first" r:id="rId17"/>
      <w:pgSz w:w="11906" w:h="16838"/>
      <w:pgMar w:top="1418" w:right="1440" w:bottom="1843" w:left="1440" w:header="709" w:footer="7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7C9" w:rsidRDefault="000217C9" w:rsidP="000217C9">
      <w:pPr>
        <w:spacing w:after="0" w:line="240" w:lineRule="auto"/>
      </w:pPr>
      <w:r>
        <w:separator/>
      </w:r>
    </w:p>
  </w:endnote>
  <w:endnote w:type="continuationSeparator" w:id="0">
    <w:p w:rsidR="000217C9" w:rsidRDefault="000217C9" w:rsidP="000217C9">
      <w:pPr>
        <w:spacing w:after="0" w:line="240" w:lineRule="auto"/>
      </w:pPr>
      <w:r>
        <w:continuationSeparator/>
      </w:r>
    </w:p>
  </w:endnote>
  <w:endnote w:id="1">
    <w:p w:rsidR="000D568B" w:rsidRDefault="000D568B" w:rsidP="000D568B">
      <w:pPr>
        <w:pStyle w:val="EndnoteText"/>
      </w:pPr>
      <w:r>
        <w:rPr>
          <w:rStyle w:val="EndnoteReference"/>
        </w:rPr>
        <w:endnoteRef/>
      </w:r>
      <w:r>
        <w:t xml:space="preserve"> Smith, K., Lawrence, G., MacMahon, A., Muller, J. &amp; Brady, M. 2016, ‘The resilience of long and short food</w:t>
      </w:r>
    </w:p>
    <w:p w:rsidR="000D568B" w:rsidRDefault="000D568B" w:rsidP="000D568B">
      <w:pPr>
        <w:pStyle w:val="EndnoteText"/>
      </w:pPr>
      <w:r>
        <w:t>chains: a case study of flooding in Queensland, Australia’, Agric Hum Values, volume 33, pp. 45–60</w:t>
      </w:r>
    </w:p>
  </w:endnote>
  <w:endnote w:id="2">
    <w:p w:rsidR="000D568B" w:rsidRDefault="000D568B" w:rsidP="000D568B">
      <w:pPr>
        <w:pStyle w:val="EndnoteText"/>
      </w:pPr>
      <w:r>
        <w:rPr>
          <w:rStyle w:val="EndnoteReference"/>
        </w:rPr>
        <w:endnoteRef/>
      </w:r>
      <w:r>
        <w:t xml:space="preserve"> USDA Economic Research Service, 2011, ‘Direct and Intermediated Marketing of Local Foods in the United</w:t>
      </w:r>
    </w:p>
    <w:p w:rsidR="000D568B" w:rsidRDefault="000D568B" w:rsidP="000D568B">
      <w:pPr>
        <w:pStyle w:val="EndnoteText"/>
      </w:pPr>
      <w:r>
        <w:t>States’, United States Department of Agriculture</w:t>
      </w:r>
    </w:p>
  </w:endnote>
  <w:endnote w:id="3">
    <w:p w:rsidR="000D568B" w:rsidRDefault="000D568B" w:rsidP="000D568B">
      <w:pPr>
        <w:pStyle w:val="EndnoteText"/>
      </w:pPr>
      <w:r>
        <w:rPr>
          <w:rStyle w:val="EndnoteReference"/>
        </w:rPr>
        <w:endnoteRef/>
      </w:r>
      <w:r>
        <w:t xml:space="preserve"> Pocock, E. &amp; Turner, B. 2016, The social impact of the SAGE Farmers Market, University of Canberra, Canberra</w:t>
      </w:r>
    </w:p>
    <w:p w:rsidR="000D568B" w:rsidRDefault="000D568B" w:rsidP="000D568B">
      <w:pPr>
        <w:pStyle w:val="EndnoteText"/>
      </w:pPr>
      <w:r>
        <w:t>ACT; Budget, T., Butt, A., Fraser, K., Hunter, A., Kennedy, M., Lehmann, J., Rudner, J., Sladeg, C. and Buxton,</w:t>
      </w:r>
    </w:p>
    <w:p w:rsidR="000D568B" w:rsidRDefault="000D568B" w:rsidP="000D568B">
      <w:pPr>
        <w:pStyle w:val="EndnoteText"/>
      </w:pPr>
      <w:r>
        <w:t>M. 2010, The impacts of a localised food supply: what is the evidence?, VicHealth and Latrobe University</w:t>
      </w:r>
    </w:p>
  </w:endnote>
  <w:endnote w:id="4">
    <w:p w:rsidR="000D568B" w:rsidRDefault="000D568B">
      <w:pPr>
        <w:pStyle w:val="EndnoteText"/>
      </w:pPr>
      <w:r>
        <w:rPr>
          <w:rStyle w:val="EndnoteReference"/>
        </w:rPr>
        <w:endnoteRef/>
      </w:r>
      <w:r>
        <w:t xml:space="preserve"> </w:t>
      </w:r>
      <w:r w:rsidRPr="000D568B">
        <w:t>Global Agriculture Information Network 2019, Retail Food Sector Report 2019</w:t>
      </w:r>
    </w:p>
  </w:endnote>
  <w:endnote w:id="5">
    <w:p w:rsidR="000D568B" w:rsidRDefault="000D568B" w:rsidP="000D568B">
      <w:pPr>
        <w:pStyle w:val="EndnoteText"/>
      </w:pPr>
      <w:r>
        <w:rPr>
          <w:rStyle w:val="EndnoteReference"/>
        </w:rPr>
        <w:endnoteRef/>
      </w:r>
      <w:r>
        <w:t xml:space="preserve"> Institute for Sustainable Futures n.d., ‘Sydney’s Food Futures: Benefits of peri-urban farming’, University of</w:t>
      </w:r>
    </w:p>
    <w:p w:rsidR="000D568B" w:rsidRDefault="000D568B" w:rsidP="000D568B">
      <w:pPr>
        <w:pStyle w:val="EndnoteText"/>
      </w:pPr>
      <w:r>
        <w:t>Technology Sydney, viewed 16 July 2020, http://www.sydneyfoodfutures.net/benefits-of-peri-urban-farming/</w:t>
      </w:r>
    </w:p>
  </w:endnote>
  <w:endnote w:id="6">
    <w:p w:rsidR="000D568B" w:rsidRDefault="000D568B" w:rsidP="000D568B">
      <w:pPr>
        <w:pStyle w:val="EndnoteText"/>
      </w:pPr>
      <w:r>
        <w:rPr>
          <w:rStyle w:val="EndnoteReference"/>
        </w:rPr>
        <w:endnoteRef/>
      </w:r>
      <w:r>
        <w:t xml:space="preserve"> Carey, R., Larsen, K. and Sheridan, J. 2019, Roadmap for a resilient and sustainable Melbourne foodbowl,</w:t>
      </w:r>
    </w:p>
    <w:p w:rsidR="000D568B" w:rsidRDefault="000D568B" w:rsidP="000D568B">
      <w:pPr>
        <w:pStyle w:val="EndnoteText"/>
      </w:pPr>
      <w:r>
        <w:t>University of Melbourne</w:t>
      </w:r>
    </w:p>
  </w:endnote>
  <w:endnote w:id="7">
    <w:p w:rsidR="000D568B" w:rsidRDefault="000D568B" w:rsidP="000D568B">
      <w:pPr>
        <w:pStyle w:val="EndnoteText"/>
      </w:pPr>
      <w:r>
        <w:rPr>
          <w:rStyle w:val="EndnoteReference"/>
        </w:rPr>
        <w:endnoteRef/>
      </w:r>
      <w:r>
        <w:t xml:space="preserve"> Institute for Sustainable Futures 2016, ‘The future of Sydney’s food bowl’, University of Technology Sydney,</w:t>
      </w:r>
    </w:p>
    <w:p w:rsidR="000D568B" w:rsidRDefault="000D568B" w:rsidP="000D568B">
      <w:pPr>
        <w:pStyle w:val="EndnoteText"/>
      </w:pPr>
      <w:r>
        <w:t>viewed 16 July 2020, https://www.uts.edu.au/research-and-teaching/our-research/institute-sustainablefutures/news/future-sydneys-food-bowl</w:t>
      </w:r>
    </w:p>
  </w:endnote>
  <w:endnote w:id="8">
    <w:p w:rsidR="000D568B" w:rsidRDefault="000D568B">
      <w:pPr>
        <w:pStyle w:val="EndnoteText"/>
      </w:pPr>
      <w:r>
        <w:rPr>
          <w:rStyle w:val="EndnoteReference"/>
        </w:rPr>
        <w:endnoteRef/>
      </w:r>
      <w:r>
        <w:t xml:space="preserve"> </w:t>
      </w:r>
      <w:r w:rsidRPr="000D568B">
        <w:t>Food and Land Use Coalition 2019, Growing Better: Ten Critical Transitions to Transform Food and Land Use</w:t>
      </w:r>
    </w:p>
  </w:endnote>
  <w:endnote w:id="9">
    <w:p w:rsidR="000D568B" w:rsidRDefault="000D568B" w:rsidP="000D568B">
      <w:pPr>
        <w:pStyle w:val="EndnoteText"/>
      </w:pPr>
      <w:r>
        <w:rPr>
          <w:rStyle w:val="EndnoteReference"/>
        </w:rPr>
        <w:endnoteRef/>
      </w:r>
      <w:r>
        <w:t xml:space="preserve"> Department of Health &amp; Human Services 2020, ‘Healthy and high-quality food in public hospitals and aged</w:t>
      </w:r>
    </w:p>
    <w:p w:rsidR="000D568B" w:rsidRDefault="000D568B" w:rsidP="000D568B">
      <w:pPr>
        <w:pStyle w:val="EndnoteText"/>
      </w:pPr>
      <w:r>
        <w:t>care facilities’, Victoria State Government, viewed 17 July 2020, https://www2.health.vic.gov.au/hospitalsand-</w:t>
      </w:r>
    </w:p>
    <w:p w:rsidR="000D568B" w:rsidRDefault="000D568B" w:rsidP="000D568B">
      <w:pPr>
        <w:pStyle w:val="EndnoteText"/>
      </w:pPr>
      <w:r>
        <w:t>health-services/quality-safety-service/healthy-choices</w:t>
      </w:r>
    </w:p>
  </w:endnote>
  <w:endnote w:id="10">
    <w:p w:rsidR="000D568B" w:rsidRDefault="000D568B" w:rsidP="000D568B">
      <w:pPr>
        <w:pStyle w:val="EndnoteText"/>
      </w:pPr>
      <w:r>
        <w:rPr>
          <w:rStyle w:val="EndnoteReference"/>
        </w:rPr>
        <w:endnoteRef/>
      </w:r>
      <w:r>
        <w:t xml:space="preserve"> Eat Well Tasmania 2020, ‘Building resilience through local food procurement’, viewed 17 July 2020,</w:t>
      </w:r>
    </w:p>
    <w:p w:rsidR="000D568B" w:rsidRDefault="000D568B" w:rsidP="000D568B">
      <w:pPr>
        <w:pStyle w:val="EndnoteText"/>
      </w:pPr>
      <w:r>
        <w:t>https://www.eatwelltas.org.au/local-food-procurement-tasmania/</w:t>
      </w:r>
    </w:p>
  </w:endnote>
  <w:endnote w:id="11">
    <w:p w:rsidR="000D568B" w:rsidRDefault="000D568B" w:rsidP="000D568B">
      <w:pPr>
        <w:pStyle w:val="EndnoteText"/>
      </w:pPr>
      <w:r>
        <w:rPr>
          <w:rStyle w:val="EndnoteReference"/>
        </w:rPr>
        <w:endnoteRef/>
      </w:r>
      <w:r>
        <w:t xml:space="preserve"> Infrastructure Australia 2020, ‘Waste management and recycling challenges: High priority initiative’, viewed</w:t>
      </w:r>
    </w:p>
    <w:p w:rsidR="000D568B" w:rsidRDefault="000D568B" w:rsidP="000D568B">
      <w:pPr>
        <w:pStyle w:val="EndnoteText"/>
      </w:pPr>
      <w:r>
        <w:t>17 July 2020, https://www.infrastructureaustralia.gov.au/map/national-waste-and-recycling-management</w:t>
      </w:r>
    </w:p>
  </w:endnote>
  <w:endnote w:id="12">
    <w:p w:rsidR="000D568B" w:rsidRDefault="000D568B">
      <w:pPr>
        <w:pStyle w:val="EndnoteText"/>
      </w:pPr>
      <w:r>
        <w:rPr>
          <w:rStyle w:val="EndnoteReference"/>
        </w:rPr>
        <w:endnoteRef/>
      </w:r>
      <w:r>
        <w:t xml:space="preserve"> </w:t>
      </w:r>
      <w:r w:rsidRPr="000D568B">
        <w:t>Buy West Eat Best 2020, ‘Buy West Eat Best’, viewed 17 July 2020, https://www.buywesteatbest.org.au/</w:t>
      </w:r>
    </w:p>
  </w:endnote>
  <w:endnote w:id="13">
    <w:p w:rsidR="000D568B" w:rsidRDefault="000D568B" w:rsidP="000D568B">
      <w:pPr>
        <w:pStyle w:val="EndnoteText"/>
      </w:pPr>
      <w:r>
        <w:rPr>
          <w:rStyle w:val="EndnoteReference"/>
        </w:rPr>
        <w:endnoteRef/>
      </w:r>
      <w:r>
        <w:t xml:space="preserve"> Brammer, J. 2017, ‘Campaign urges people to buy locally-produced food’, The West Australian, viewed 17 July 2020, https://thewest.com.au/business/agriculture/campaign-urges-people-to-buy-locally-producedfood-</w:t>
      </w:r>
    </w:p>
    <w:p w:rsidR="000D568B" w:rsidRDefault="000D568B" w:rsidP="000D568B">
      <w:pPr>
        <w:pStyle w:val="EndnoteText"/>
      </w:pPr>
      <w:r>
        <w:t>ng-b88436103z</w:t>
      </w:r>
    </w:p>
  </w:endnote>
  <w:endnote w:id="14">
    <w:p w:rsidR="000D568B" w:rsidRDefault="000D568B">
      <w:pPr>
        <w:pStyle w:val="EndnoteText"/>
      </w:pPr>
      <w:r>
        <w:rPr>
          <w:rStyle w:val="EndnoteReference"/>
        </w:rPr>
        <w:endnoteRef/>
      </w:r>
      <w:r>
        <w:t xml:space="preserve"> </w:t>
      </w:r>
      <w:r w:rsidRPr="000D568B">
        <w:t>Eat Well Tasmania 2020, ‘We Eat Local’, viewed 17 July 2020, https://www.eatwelltas.org.au/we-eat-local/</w:t>
      </w:r>
    </w:p>
  </w:endnote>
  <w:endnote w:id="15">
    <w:p w:rsidR="000D568B" w:rsidRDefault="000D568B" w:rsidP="000D568B">
      <w:pPr>
        <w:pStyle w:val="EndnoteText"/>
      </w:pPr>
      <w:r>
        <w:rPr>
          <w:rStyle w:val="EndnoteReference"/>
        </w:rPr>
        <w:endnoteRef/>
      </w:r>
      <w:r>
        <w:t xml:space="preserve"> Foodwise 2020, ‘Seasonal and local’, Do Something!, viewed 17 July 2020, https://www.foodwise.com.au/</w:t>
      </w:r>
    </w:p>
    <w:p w:rsidR="000D568B" w:rsidRDefault="000D568B" w:rsidP="000D568B">
      <w:pPr>
        <w:pStyle w:val="EndnoteText"/>
      </w:pPr>
      <w:r>
        <w:t>foodwaste/food-waste-fast-facts/foodwise-articles/seasonal-and-local/</w:t>
      </w:r>
    </w:p>
  </w:endnote>
  <w:endnote w:id="16">
    <w:p w:rsidR="000D568B" w:rsidRDefault="000D568B">
      <w:pPr>
        <w:pStyle w:val="EndnoteText"/>
      </w:pPr>
      <w:r>
        <w:rPr>
          <w:rStyle w:val="EndnoteReference"/>
        </w:rPr>
        <w:endnoteRef/>
      </w:r>
      <w:r>
        <w:t xml:space="preserve"> </w:t>
      </w:r>
      <w:r w:rsidRPr="000D568B">
        <w:t>Seasonal Food Guide Australia 2016, ‘Choose your region’, viewed 17 July 2020, http://seasonalfoodguide.com/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wnPro-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ownStd">
    <w:panose1 w:val="00010500010101010101"/>
    <w:charset w:val="00"/>
    <w:family w:val="modern"/>
    <w:notTrueType/>
    <w:pitch w:val="variable"/>
    <w:sig w:usb0="800000AF" w:usb1="4000206B" w:usb2="00000000" w:usb3="00000000" w:csb0="00000001" w:csb1="00000000"/>
  </w:font>
  <w:font w:name="BrownPro">
    <w:altName w:val="Brown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ownPro-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46A" w:rsidRDefault="0012446A">
    <w:pPr>
      <w:pStyle w:val="Footer"/>
    </w:pPr>
    <w:r>
      <w:rPr>
        <w:noProof/>
        <w:color w:val="37A56E"/>
        <w:lang w:eastAsia="en-AU"/>
      </w:rPr>
      <w:drawing>
        <wp:anchor distT="0" distB="0" distL="114300" distR="114300" simplePos="0" relativeHeight="251663360" behindDoc="1" locked="0" layoutInCell="1" allowOverlap="1" wp14:anchorId="7C402624" wp14:editId="44043095">
          <wp:simplePos x="0" y="0"/>
          <wp:positionH relativeFrom="column">
            <wp:posOffset>-95250</wp:posOffset>
          </wp:positionH>
          <wp:positionV relativeFrom="paragraph">
            <wp:posOffset>-409575</wp:posOffset>
          </wp:positionV>
          <wp:extent cx="3181985" cy="809625"/>
          <wp:effectExtent l="0" t="0" r="0" b="0"/>
          <wp:wrapTight wrapText="bothSides">
            <wp:wrapPolygon edited="0">
              <wp:start x="517" y="508"/>
              <wp:lineTo x="517" y="3558"/>
              <wp:lineTo x="1422" y="9656"/>
              <wp:lineTo x="776" y="13214"/>
              <wp:lineTo x="1422" y="17788"/>
              <wp:lineTo x="10604" y="18805"/>
              <wp:lineTo x="13319" y="20838"/>
              <wp:lineTo x="14225" y="20838"/>
              <wp:lineTo x="19397" y="19821"/>
              <wp:lineTo x="21078" y="19313"/>
              <wp:lineTo x="21466" y="8132"/>
              <wp:lineTo x="19656" y="6607"/>
              <wp:lineTo x="10475" y="508"/>
              <wp:lineTo x="517" y="508"/>
            </wp:wrapPolygon>
          </wp:wrapTight>
          <wp:docPr id="114" name="Picture 114" descr="Land Use Futures program partner logos: ClimateWorks Australia, Deakin University and CSIRO" title="Program partners: Land Use Fu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985" cy="809625"/>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46A" w:rsidRDefault="0012446A">
    <w:pPr>
      <w:pStyle w:val="Footer"/>
    </w:pPr>
    <w:r>
      <w:rPr>
        <w:noProof/>
        <w:color w:val="37A56E"/>
        <w:lang w:eastAsia="en-AU"/>
      </w:rPr>
      <w:drawing>
        <wp:anchor distT="0" distB="0" distL="114300" distR="114300" simplePos="0" relativeHeight="251661312" behindDoc="1" locked="0" layoutInCell="1" allowOverlap="1" wp14:anchorId="0970F16C" wp14:editId="4CEA5FFA">
          <wp:simplePos x="0" y="0"/>
          <wp:positionH relativeFrom="column">
            <wp:posOffset>-133350</wp:posOffset>
          </wp:positionH>
          <wp:positionV relativeFrom="paragraph">
            <wp:posOffset>-425450</wp:posOffset>
          </wp:positionV>
          <wp:extent cx="3181985" cy="809625"/>
          <wp:effectExtent l="0" t="0" r="0" b="0"/>
          <wp:wrapTight wrapText="bothSides">
            <wp:wrapPolygon edited="0">
              <wp:start x="517" y="508"/>
              <wp:lineTo x="517" y="3558"/>
              <wp:lineTo x="1422" y="9656"/>
              <wp:lineTo x="776" y="13214"/>
              <wp:lineTo x="1422" y="17788"/>
              <wp:lineTo x="10604" y="18805"/>
              <wp:lineTo x="13319" y="20838"/>
              <wp:lineTo x="14225" y="20838"/>
              <wp:lineTo x="19397" y="19821"/>
              <wp:lineTo x="21078" y="19313"/>
              <wp:lineTo x="21466" y="8132"/>
              <wp:lineTo x="19656" y="6607"/>
              <wp:lineTo x="10475" y="508"/>
              <wp:lineTo x="517" y="508"/>
            </wp:wrapPolygon>
          </wp:wrapTight>
          <wp:docPr id="116" name="Picture 116" descr="Land Use Futures program partner logos: ClimateWorks Australia, Deakin University and CSIRO" title="Program partners: Land Use Fu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985" cy="80962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7C9" w:rsidRDefault="000217C9" w:rsidP="000217C9">
      <w:pPr>
        <w:spacing w:after="0" w:line="240" w:lineRule="auto"/>
      </w:pPr>
      <w:r>
        <w:separator/>
      </w:r>
    </w:p>
  </w:footnote>
  <w:footnote w:type="continuationSeparator" w:id="0">
    <w:p w:rsidR="000217C9" w:rsidRDefault="000217C9" w:rsidP="000217C9">
      <w:pPr>
        <w:spacing w:after="0" w:line="240" w:lineRule="auto"/>
      </w:pPr>
      <w:r>
        <w:continuationSeparator/>
      </w:r>
    </w:p>
  </w:footnote>
  <w:footnote w:id="1">
    <w:p w:rsidR="00353A17" w:rsidRDefault="00353A17" w:rsidP="00353A17">
      <w:pPr>
        <w:pStyle w:val="FootnoteText"/>
      </w:pPr>
      <w:r>
        <w:rPr>
          <w:rStyle w:val="FootnoteReference"/>
        </w:rPr>
        <w:footnoteRef/>
      </w:r>
      <w:r>
        <w:t xml:space="preserve"> ‘Locally sourced’ refers to a focus on preferencing food sourced closer to where it will be eaten. This includes food produced within cities (‘urban agriculture’), in peri-urban agricultural areas, or in a local region.</w:t>
      </w:r>
    </w:p>
  </w:footnote>
  <w:footnote w:id="2">
    <w:p w:rsidR="00353A17" w:rsidRDefault="00353A17">
      <w:pPr>
        <w:pStyle w:val="FootnoteText"/>
      </w:pPr>
      <w:r>
        <w:rPr>
          <w:rStyle w:val="FootnoteReference"/>
        </w:rPr>
        <w:footnoteRef/>
      </w:r>
      <w:r>
        <w:t xml:space="preserve"> </w:t>
      </w:r>
      <w:r w:rsidRPr="00353A17">
        <w:t xml:space="preserve">See the </w:t>
      </w:r>
      <w:hyperlink r:id="rId1" w:history="1">
        <w:r w:rsidRPr="000D568B">
          <w:rPr>
            <w:rStyle w:val="Hyperlink"/>
            <w:color w:val="auto"/>
          </w:rPr>
          <w:t>Scaling Productive and Regenerative Agriculture</w:t>
        </w:r>
      </w:hyperlink>
      <w:r w:rsidRPr="00353A17">
        <w:t xml:space="preserve"> paper.</w:t>
      </w:r>
    </w:p>
  </w:footnote>
  <w:footnote w:id="3">
    <w:p w:rsidR="00353A17" w:rsidRDefault="00353A17" w:rsidP="00353A17">
      <w:pPr>
        <w:pStyle w:val="FootnoteText"/>
      </w:pPr>
      <w:r>
        <w:rPr>
          <w:rStyle w:val="FootnoteReference"/>
        </w:rPr>
        <w:footnoteRef/>
      </w:r>
      <w:r>
        <w:t xml:space="preserve"> Measures to increase local sourcing of food to meet urban demand can also help enable the development of local food economies in regional areas, with food security and accessibility, health, and broader community development benefits for regional communities who often find it hard to source food grown within their own regions.</w:t>
      </w:r>
    </w:p>
  </w:footnote>
  <w:footnote w:id="4">
    <w:p w:rsidR="00761B97" w:rsidRDefault="00761B97">
      <w:pPr>
        <w:pStyle w:val="FootnoteText"/>
      </w:pPr>
      <w:r>
        <w:rPr>
          <w:rStyle w:val="FootnoteReference"/>
        </w:rPr>
        <w:footnoteRef/>
      </w:r>
      <w:r>
        <w:t xml:space="preserve"> </w:t>
      </w:r>
      <w:r w:rsidRPr="00761B97">
        <w:t>Based on the Growing Better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C9D" w:rsidRDefault="00603C9D">
    <w:pPr>
      <w:pStyle w:val="Header"/>
    </w:pPr>
    <w:r>
      <w:rPr>
        <w:noProof/>
        <w:lang w:eastAsia="en-AU"/>
      </w:rPr>
      <w:drawing>
        <wp:anchor distT="0" distB="0" distL="114300" distR="114300" simplePos="0" relativeHeight="251665408" behindDoc="1" locked="0" layoutInCell="1" allowOverlap="1" wp14:anchorId="7BE34503" wp14:editId="58DB79BA">
          <wp:simplePos x="0" y="0"/>
          <wp:positionH relativeFrom="column">
            <wp:posOffset>0</wp:posOffset>
          </wp:positionH>
          <wp:positionV relativeFrom="paragraph">
            <wp:posOffset>-635</wp:posOffset>
          </wp:positionV>
          <wp:extent cx="2516125" cy="1779146"/>
          <wp:effectExtent l="0" t="0" r="0" b="0"/>
          <wp:wrapNone/>
          <wp:docPr id="113" name="Picture 113" descr="Land Use Futures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bha0013/Downloads/L-Drive/LAND-USE-FUTURES/LAND-USE-FUTURES-LOOK-AND-FEEL/3. working docs/Assets/LAND-USE-FUTURES-LOGO-SUITE/RGB/PNG/CWA-LAND-USE-FUTURES-LOGO-RGB-GR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6125" cy="1779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46A" w:rsidRDefault="0012446A">
    <w:pPr>
      <w:pStyle w:val="Header"/>
    </w:pPr>
    <w:r>
      <w:rPr>
        <w:noProof/>
        <w:lang w:eastAsia="en-AU"/>
      </w:rPr>
      <w:drawing>
        <wp:anchor distT="0" distB="0" distL="114300" distR="114300" simplePos="0" relativeHeight="251659264" behindDoc="1" locked="0" layoutInCell="1" allowOverlap="1" wp14:anchorId="3592B3C1" wp14:editId="5806C8E8">
          <wp:simplePos x="0" y="0"/>
          <wp:positionH relativeFrom="column">
            <wp:posOffset>0</wp:posOffset>
          </wp:positionH>
          <wp:positionV relativeFrom="paragraph">
            <wp:posOffset>-635</wp:posOffset>
          </wp:positionV>
          <wp:extent cx="2516125" cy="1779146"/>
          <wp:effectExtent l="0" t="0" r="0" b="0"/>
          <wp:wrapNone/>
          <wp:docPr id="115" name="Picture 115" descr="Land Use Futures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bha0013/Downloads/L-Drive/LAND-USE-FUTURES/LAND-USE-FUTURES-LOOK-AND-FEEL/3. working docs/Assets/LAND-USE-FUTURES-LOGO-SUITE/RGB/PNG/CWA-LAND-USE-FUTURES-LOGO-RGB-GR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6125" cy="1779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C9D" w:rsidRDefault="00603C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A48" w:rsidRDefault="00182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047D3"/>
    <w:multiLevelType w:val="hybridMultilevel"/>
    <w:tmpl w:val="6ED68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CF6586"/>
    <w:multiLevelType w:val="hybridMultilevel"/>
    <w:tmpl w:val="06566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173F77"/>
    <w:multiLevelType w:val="hybridMultilevel"/>
    <w:tmpl w:val="828EF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F23294"/>
    <w:multiLevelType w:val="hybridMultilevel"/>
    <w:tmpl w:val="CBA86848"/>
    <w:lvl w:ilvl="0" w:tplc="22C8AE4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DE4C3F"/>
    <w:multiLevelType w:val="hybridMultilevel"/>
    <w:tmpl w:val="B93003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E37910"/>
    <w:multiLevelType w:val="hybridMultilevel"/>
    <w:tmpl w:val="A3E03492"/>
    <w:lvl w:ilvl="0" w:tplc="0C090001">
      <w:start w:val="1"/>
      <w:numFmt w:val="bullet"/>
      <w:lvlText w:val=""/>
      <w:lvlJc w:val="left"/>
      <w:pPr>
        <w:ind w:left="720" w:hanging="360"/>
      </w:pPr>
      <w:rPr>
        <w:rFonts w:ascii="Symbol" w:hAnsi="Symbol" w:hint="default"/>
      </w:rPr>
    </w:lvl>
    <w:lvl w:ilvl="1" w:tplc="51BAB280">
      <w:numFmt w:val="bullet"/>
      <w:lvlText w:val="•"/>
      <w:lvlJc w:val="left"/>
      <w:pPr>
        <w:ind w:left="1440" w:hanging="360"/>
      </w:pPr>
      <w:rPr>
        <w:rFonts w:ascii="BrownPro-Bold" w:eastAsiaTheme="minorHAnsi" w:hAnsi="BrownPro-Bold" w:cs="BrownPro-Bold" w:hint="default"/>
        <w:b/>
        <w:color w:val="37A66E"/>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767D18"/>
    <w:multiLevelType w:val="hybridMultilevel"/>
    <w:tmpl w:val="B6A2D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C9"/>
    <w:rsid w:val="00014D04"/>
    <w:rsid w:val="000217C9"/>
    <w:rsid w:val="0009731E"/>
    <w:rsid w:val="000D568B"/>
    <w:rsid w:val="0012446A"/>
    <w:rsid w:val="00182579"/>
    <w:rsid w:val="00353A17"/>
    <w:rsid w:val="0036747E"/>
    <w:rsid w:val="00402558"/>
    <w:rsid w:val="00470A8C"/>
    <w:rsid w:val="004F34A7"/>
    <w:rsid w:val="005B3FD0"/>
    <w:rsid w:val="005B7BF4"/>
    <w:rsid w:val="005C44E2"/>
    <w:rsid w:val="005C72C9"/>
    <w:rsid w:val="00603C9D"/>
    <w:rsid w:val="006226F3"/>
    <w:rsid w:val="0064008D"/>
    <w:rsid w:val="006E5491"/>
    <w:rsid w:val="00757199"/>
    <w:rsid w:val="00761B97"/>
    <w:rsid w:val="008D4DF5"/>
    <w:rsid w:val="00925ACE"/>
    <w:rsid w:val="009464A4"/>
    <w:rsid w:val="009A2BC0"/>
    <w:rsid w:val="009E7E7A"/>
    <w:rsid w:val="00A53514"/>
    <w:rsid w:val="00A86611"/>
    <w:rsid w:val="00AE0835"/>
    <w:rsid w:val="00B31AFE"/>
    <w:rsid w:val="00C37797"/>
    <w:rsid w:val="00C67D76"/>
    <w:rsid w:val="00CC2D5A"/>
    <w:rsid w:val="00D51EED"/>
    <w:rsid w:val="00D60116"/>
    <w:rsid w:val="00D80BC4"/>
    <w:rsid w:val="00D877D6"/>
    <w:rsid w:val="00E72E69"/>
    <w:rsid w:val="00EB4D8B"/>
    <w:rsid w:val="00F20384"/>
    <w:rsid w:val="00FE33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BD08F1"/>
  <w15:chartTrackingRefBased/>
  <w15:docId w15:val="{B7238C9F-C474-4DA3-A215-020F6677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7C9"/>
  </w:style>
  <w:style w:type="paragraph" w:styleId="Heading1">
    <w:name w:val="heading 1"/>
    <w:basedOn w:val="Normal"/>
    <w:next w:val="Normal"/>
    <w:link w:val="Heading1Char"/>
    <w:uiPriority w:val="9"/>
    <w:qFormat/>
    <w:rsid w:val="000217C9"/>
    <w:pPr>
      <w:keepNext/>
      <w:keepLines/>
      <w:spacing w:before="240" w:after="0" w:line="240" w:lineRule="auto"/>
      <w:outlineLvl w:val="0"/>
    </w:pPr>
    <w:rPr>
      <w:rFonts w:eastAsiaTheme="majorEastAsia" w:cstheme="majorBidi"/>
      <w:b/>
      <w:spacing w:val="10"/>
      <w:sz w:val="28"/>
      <w:szCs w:val="32"/>
    </w:rPr>
  </w:style>
  <w:style w:type="paragraph" w:styleId="Heading2">
    <w:name w:val="heading 2"/>
    <w:basedOn w:val="Normal"/>
    <w:next w:val="Normal"/>
    <w:link w:val="Heading2Char"/>
    <w:uiPriority w:val="9"/>
    <w:unhideWhenUsed/>
    <w:qFormat/>
    <w:rsid w:val="000217C9"/>
    <w:pPr>
      <w:keepNext/>
      <w:keepLines/>
      <w:spacing w:before="40" w:after="0"/>
      <w:outlineLvl w:val="1"/>
    </w:pPr>
    <w:rPr>
      <w:rFonts w:asciiTheme="majorHAnsi" w:eastAsiaTheme="majorEastAsia" w:hAnsiTheme="majorHAnsi" w:cstheme="majorBidi"/>
      <w:color w:val="37A56E"/>
      <w:spacing w:val="1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7C9"/>
    <w:rPr>
      <w:rFonts w:eastAsiaTheme="majorEastAsia" w:cstheme="majorBidi"/>
      <w:b/>
      <w:spacing w:val="10"/>
      <w:sz w:val="28"/>
      <w:szCs w:val="32"/>
    </w:rPr>
  </w:style>
  <w:style w:type="character" w:customStyle="1" w:styleId="Heading2Char">
    <w:name w:val="Heading 2 Char"/>
    <w:basedOn w:val="DefaultParagraphFont"/>
    <w:link w:val="Heading2"/>
    <w:uiPriority w:val="9"/>
    <w:rsid w:val="000217C9"/>
    <w:rPr>
      <w:rFonts w:asciiTheme="majorHAnsi" w:eastAsiaTheme="majorEastAsia" w:hAnsiTheme="majorHAnsi" w:cstheme="majorBidi"/>
      <w:color w:val="37A56E"/>
      <w:spacing w:val="15"/>
      <w:szCs w:val="26"/>
    </w:rPr>
  </w:style>
  <w:style w:type="paragraph" w:styleId="Title">
    <w:name w:val="Title"/>
    <w:basedOn w:val="Normal"/>
    <w:next w:val="Normal"/>
    <w:link w:val="TitleChar"/>
    <w:uiPriority w:val="10"/>
    <w:qFormat/>
    <w:rsid w:val="000217C9"/>
    <w:pPr>
      <w:spacing w:after="0" w:line="240" w:lineRule="auto"/>
      <w:contextualSpacing/>
    </w:pPr>
    <w:rPr>
      <w:rFonts w:eastAsiaTheme="majorEastAsia" w:cstheme="majorBidi"/>
      <w:b/>
      <w:caps/>
      <w:color w:val="37A56E"/>
      <w:spacing w:val="20"/>
      <w:kern w:val="28"/>
      <w:sz w:val="40"/>
      <w:szCs w:val="56"/>
    </w:rPr>
  </w:style>
  <w:style w:type="character" w:customStyle="1" w:styleId="TitleChar">
    <w:name w:val="Title Char"/>
    <w:basedOn w:val="DefaultParagraphFont"/>
    <w:link w:val="Title"/>
    <w:uiPriority w:val="10"/>
    <w:rsid w:val="000217C9"/>
    <w:rPr>
      <w:rFonts w:eastAsiaTheme="majorEastAsia" w:cstheme="majorBidi"/>
      <w:b/>
      <w:caps/>
      <w:color w:val="37A56E"/>
      <w:spacing w:val="20"/>
      <w:kern w:val="28"/>
      <w:sz w:val="40"/>
      <w:szCs w:val="56"/>
    </w:rPr>
  </w:style>
  <w:style w:type="paragraph" w:customStyle="1" w:styleId="Default">
    <w:name w:val="Default"/>
    <w:rsid w:val="000217C9"/>
    <w:pPr>
      <w:autoSpaceDE w:val="0"/>
      <w:autoSpaceDN w:val="0"/>
      <w:adjustRightInd w:val="0"/>
      <w:spacing w:after="0" w:line="240" w:lineRule="auto"/>
    </w:pPr>
    <w:rPr>
      <w:rFonts w:ascii="BrownStd" w:hAnsi="BrownStd" w:cs="BrownStd"/>
      <w:color w:val="000000"/>
      <w:sz w:val="24"/>
      <w:szCs w:val="24"/>
    </w:rPr>
  </w:style>
  <w:style w:type="character" w:customStyle="1" w:styleId="A4">
    <w:name w:val="A4"/>
    <w:uiPriority w:val="99"/>
    <w:rsid w:val="000217C9"/>
    <w:rPr>
      <w:rFonts w:cs="BrownStd"/>
      <w:color w:val="211D1E"/>
      <w:sz w:val="18"/>
      <w:szCs w:val="18"/>
    </w:rPr>
  </w:style>
  <w:style w:type="character" w:customStyle="1" w:styleId="A5">
    <w:name w:val="A5"/>
    <w:uiPriority w:val="99"/>
    <w:rsid w:val="000217C9"/>
    <w:rPr>
      <w:rFonts w:cs="BrownStd"/>
      <w:color w:val="211D1E"/>
      <w:sz w:val="18"/>
      <w:szCs w:val="18"/>
      <w:u w:val="single"/>
    </w:rPr>
  </w:style>
  <w:style w:type="paragraph" w:styleId="Header">
    <w:name w:val="header"/>
    <w:basedOn w:val="Normal"/>
    <w:link w:val="HeaderChar"/>
    <w:uiPriority w:val="99"/>
    <w:unhideWhenUsed/>
    <w:rsid w:val="00021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7C9"/>
  </w:style>
  <w:style w:type="paragraph" w:styleId="Footer">
    <w:name w:val="footer"/>
    <w:basedOn w:val="Normal"/>
    <w:link w:val="FooterChar"/>
    <w:uiPriority w:val="99"/>
    <w:unhideWhenUsed/>
    <w:rsid w:val="00021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7C9"/>
  </w:style>
  <w:style w:type="paragraph" w:styleId="ListParagraph">
    <w:name w:val="List Paragraph"/>
    <w:basedOn w:val="Normal"/>
    <w:uiPriority w:val="1"/>
    <w:qFormat/>
    <w:rsid w:val="000217C9"/>
    <w:pPr>
      <w:ind w:left="720"/>
      <w:contextualSpacing/>
    </w:pPr>
  </w:style>
  <w:style w:type="paragraph" w:styleId="NoSpacing">
    <w:name w:val="No Spacing"/>
    <w:uiPriority w:val="1"/>
    <w:qFormat/>
    <w:rsid w:val="000217C9"/>
    <w:pPr>
      <w:spacing w:after="0" w:line="240" w:lineRule="auto"/>
    </w:pPr>
  </w:style>
  <w:style w:type="character" w:styleId="Hyperlink">
    <w:name w:val="Hyperlink"/>
    <w:basedOn w:val="DefaultParagraphFont"/>
    <w:uiPriority w:val="99"/>
    <w:unhideWhenUsed/>
    <w:rsid w:val="000217C9"/>
    <w:rPr>
      <w:color w:val="0563C1" w:themeColor="hyperlink"/>
      <w:u w:val="single"/>
    </w:rPr>
  </w:style>
  <w:style w:type="character" w:customStyle="1" w:styleId="A7">
    <w:name w:val="A7"/>
    <w:uiPriority w:val="99"/>
    <w:rsid w:val="000217C9"/>
    <w:rPr>
      <w:rFonts w:cs="BrownStd"/>
      <w:b/>
      <w:bCs/>
      <w:color w:val="211D1E"/>
      <w:sz w:val="16"/>
      <w:szCs w:val="16"/>
    </w:rPr>
  </w:style>
  <w:style w:type="paragraph" w:styleId="FootnoteText">
    <w:name w:val="footnote text"/>
    <w:basedOn w:val="Normal"/>
    <w:link w:val="FootnoteTextChar"/>
    <w:uiPriority w:val="99"/>
    <w:semiHidden/>
    <w:unhideWhenUsed/>
    <w:rsid w:val="000217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17C9"/>
    <w:rPr>
      <w:sz w:val="20"/>
      <w:szCs w:val="20"/>
    </w:rPr>
  </w:style>
  <w:style w:type="character" w:styleId="FootnoteReference">
    <w:name w:val="footnote reference"/>
    <w:basedOn w:val="DefaultParagraphFont"/>
    <w:uiPriority w:val="99"/>
    <w:semiHidden/>
    <w:unhideWhenUsed/>
    <w:rsid w:val="000217C9"/>
    <w:rPr>
      <w:vertAlign w:val="superscript"/>
    </w:rPr>
  </w:style>
  <w:style w:type="paragraph" w:styleId="EndnoteText">
    <w:name w:val="endnote text"/>
    <w:basedOn w:val="Normal"/>
    <w:link w:val="EndnoteTextChar"/>
    <w:uiPriority w:val="99"/>
    <w:unhideWhenUsed/>
    <w:rsid w:val="000217C9"/>
    <w:pPr>
      <w:spacing w:after="0" w:line="240" w:lineRule="auto"/>
    </w:pPr>
    <w:rPr>
      <w:sz w:val="20"/>
      <w:szCs w:val="20"/>
    </w:rPr>
  </w:style>
  <w:style w:type="character" w:customStyle="1" w:styleId="EndnoteTextChar">
    <w:name w:val="Endnote Text Char"/>
    <w:basedOn w:val="DefaultParagraphFont"/>
    <w:link w:val="EndnoteText"/>
    <w:uiPriority w:val="99"/>
    <w:rsid w:val="000217C9"/>
    <w:rPr>
      <w:sz w:val="20"/>
      <w:szCs w:val="20"/>
    </w:rPr>
  </w:style>
  <w:style w:type="character" w:styleId="EndnoteReference">
    <w:name w:val="endnote reference"/>
    <w:basedOn w:val="DefaultParagraphFont"/>
    <w:uiPriority w:val="99"/>
    <w:semiHidden/>
    <w:unhideWhenUsed/>
    <w:rsid w:val="000217C9"/>
    <w:rPr>
      <w:vertAlign w:val="superscript"/>
    </w:rPr>
  </w:style>
  <w:style w:type="paragraph" w:customStyle="1" w:styleId="Pa2">
    <w:name w:val="Pa2"/>
    <w:basedOn w:val="Default"/>
    <w:next w:val="Default"/>
    <w:uiPriority w:val="99"/>
    <w:rsid w:val="0009731E"/>
    <w:pPr>
      <w:spacing w:line="191" w:lineRule="atLeast"/>
    </w:pPr>
    <w:rPr>
      <w:rFonts w:ascii="BrownPro" w:hAnsi="BrownPro" w:cstheme="minorBidi"/>
      <w:color w:val="auto"/>
    </w:rPr>
  </w:style>
  <w:style w:type="character" w:customStyle="1" w:styleId="A3">
    <w:name w:val="A3"/>
    <w:uiPriority w:val="99"/>
    <w:rsid w:val="0009731E"/>
    <w:rPr>
      <w:rFonts w:cs="BrownPro"/>
      <w:color w:val="221E1F"/>
      <w:sz w:val="18"/>
      <w:szCs w:val="18"/>
    </w:rPr>
  </w:style>
  <w:style w:type="character" w:customStyle="1" w:styleId="A8">
    <w:name w:val="A8"/>
    <w:uiPriority w:val="99"/>
    <w:rsid w:val="0009731E"/>
    <w:rPr>
      <w:rFonts w:cs="BrownPro"/>
      <w:b/>
      <w:bCs/>
      <w:color w:val="006F53"/>
      <w:sz w:val="18"/>
      <w:szCs w:val="18"/>
    </w:rPr>
  </w:style>
  <w:style w:type="paragraph" w:styleId="BalloonText">
    <w:name w:val="Balloon Text"/>
    <w:basedOn w:val="Normal"/>
    <w:link w:val="BalloonTextChar"/>
    <w:uiPriority w:val="99"/>
    <w:semiHidden/>
    <w:unhideWhenUsed/>
    <w:rsid w:val="00AE0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835"/>
    <w:rPr>
      <w:rFonts w:ascii="Segoe UI" w:hAnsi="Segoe UI" w:cs="Segoe UI"/>
      <w:sz w:val="18"/>
      <w:szCs w:val="18"/>
    </w:rPr>
  </w:style>
  <w:style w:type="paragraph" w:customStyle="1" w:styleId="Pa3">
    <w:name w:val="Pa3"/>
    <w:basedOn w:val="Default"/>
    <w:next w:val="Default"/>
    <w:uiPriority w:val="99"/>
    <w:rsid w:val="006E5491"/>
    <w:pPr>
      <w:spacing w:line="191" w:lineRule="atLeast"/>
    </w:pPr>
    <w:rPr>
      <w:rFonts w:ascii="BrownPro" w:hAnsi="BrownPro" w:cstheme="minorBidi"/>
      <w:color w:val="auto"/>
    </w:rPr>
  </w:style>
  <w:style w:type="character" w:customStyle="1" w:styleId="A6">
    <w:name w:val="A6"/>
    <w:uiPriority w:val="99"/>
    <w:rsid w:val="006E5491"/>
    <w:rPr>
      <w:rFonts w:cs="BrownPro"/>
      <w:b/>
      <w:bCs/>
      <w:color w:val="006F5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limateworksaustralia.org/resource/reducing-food-loss-and-wast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limateworksaustralia.org/resource/reducing-food-loss-and-waste/"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climateworksaustral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limateworksaustralia.org/resource/reducing-food-loss-and-wast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climateworksaustralia.org/resource/scaling-productive-and-regenerative-agricult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3688D-0040-4528-BD98-2A2DE381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Lambert</dc:creator>
  <cp:keywords/>
  <dc:description/>
  <cp:lastModifiedBy>Haley Lambert</cp:lastModifiedBy>
  <cp:revision>6</cp:revision>
  <cp:lastPrinted>2020-07-23T08:34:00Z</cp:lastPrinted>
  <dcterms:created xsi:type="dcterms:W3CDTF">2020-08-04T03:21:00Z</dcterms:created>
  <dcterms:modified xsi:type="dcterms:W3CDTF">2020-08-05T03:00:00Z</dcterms:modified>
</cp:coreProperties>
</file>